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77777777" w:rsidR="00172F51" w:rsidRPr="008A02C6" w:rsidRDefault="002A0132" w:rsidP="007C1473">
      <w:pPr>
        <w:pStyle w:val="Default"/>
        <w:jc w:val="center"/>
        <w:rPr>
          <w:sz w:val="28"/>
          <w:szCs w:val="28"/>
          <w:lang w:val="en-US"/>
        </w:rPr>
      </w:pPr>
      <w:r w:rsidRPr="008A02C6">
        <w:rPr>
          <w:b/>
          <w:bCs/>
          <w:sz w:val="28"/>
          <w:szCs w:val="28"/>
          <w:lang w:val="en-US"/>
        </w:rPr>
        <w:t xml:space="preserve">Abstract Title </w:t>
      </w:r>
      <w:r w:rsidR="00172F51" w:rsidRPr="008A02C6">
        <w:rPr>
          <w:b/>
          <w:bCs/>
          <w:sz w:val="28"/>
          <w:szCs w:val="28"/>
          <w:lang w:val="en-US"/>
        </w:rPr>
        <w:t>(two</w:t>
      </w:r>
      <w:r w:rsidR="00172F51" w:rsidRPr="008A02C6">
        <w:rPr>
          <w:sz w:val="28"/>
          <w:szCs w:val="28"/>
          <w:lang w:val="en-US"/>
        </w:rPr>
        <w:t xml:space="preserve"> </w:t>
      </w:r>
      <w:r w:rsidR="00172F51" w:rsidRPr="008A02C6">
        <w:rPr>
          <w:b/>
          <w:bCs/>
          <w:sz w:val="28"/>
          <w:szCs w:val="28"/>
          <w:lang w:val="en-US"/>
        </w:rPr>
        <w:t>lines maximum)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55FE51A6" w:rsidR="0007701F" w:rsidRPr="007C1473" w:rsidRDefault="00AB2558" w:rsidP="007C1473">
      <w:pPr>
        <w:pStyle w:val="Default"/>
        <w:jc w:val="center"/>
        <w:rPr>
          <w:lang w:val="en-US"/>
        </w:rPr>
      </w:pPr>
      <w:r>
        <w:rPr>
          <w:lang w:val="en-US"/>
        </w:rPr>
        <w:t>V. Doroshenko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and IXPE collaboration</w:t>
      </w:r>
      <w:r w:rsidR="00172F51" w:rsidRPr="007C1473">
        <w:rPr>
          <w:lang w:val="en-US"/>
        </w:rPr>
        <w:t xml:space="preserve"> </w:t>
      </w:r>
    </w:p>
    <w:p w14:paraId="33B59775" w14:textId="7F59E581" w:rsidR="00172F51" w:rsidRPr="00AB2558" w:rsidRDefault="00172F51" w:rsidP="007C1473">
      <w:pPr>
        <w:pStyle w:val="Default"/>
        <w:jc w:val="center"/>
        <w:rPr>
          <w:sz w:val="22"/>
          <w:szCs w:val="22"/>
          <w:lang w:val="de-DE"/>
        </w:rPr>
      </w:pPr>
      <w:r w:rsidRPr="00AB2558">
        <w:rPr>
          <w:i/>
          <w:iCs/>
          <w:sz w:val="22"/>
          <w:szCs w:val="22"/>
          <w:vertAlign w:val="superscript"/>
          <w:lang w:val="de-DE"/>
        </w:rPr>
        <w:t>1</w:t>
      </w:r>
      <w:r w:rsidRPr="00AB2558">
        <w:rPr>
          <w:i/>
          <w:iCs/>
          <w:sz w:val="22"/>
          <w:szCs w:val="22"/>
          <w:lang w:val="de-DE"/>
        </w:rPr>
        <w:t xml:space="preserve"> </w:t>
      </w:r>
      <w:r w:rsidR="00AB2558" w:rsidRPr="00AB2558">
        <w:rPr>
          <w:i/>
          <w:iCs/>
          <w:sz w:val="22"/>
          <w:szCs w:val="22"/>
          <w:lang w:val="de-DE"/>
        </w:rPr>
        <w:t>Institute für Astronomie und Astrophysi</w:t>
      </w:r>
      <w:r w:rsidR="00AB2558">
        <w:rPr>
          <w:i/>
          <w:iCs/>
          <w:sz w:val="22"/>
          <w:szCs w:val="22"/>
          <w:lang w:val="de-DE"/>
        </w:rPr>
        <w:t>k, Eberhard-Karls-Universität, Tübingen, Germany</w:t>
      </w:r>
    </w:p>
    <w:p w14:paraId="536DF3AA" w14:textId="77777777" w:rsidR="00172F51" w:rsidRPr="00AB2558" w:rsidRDefault="00172F51" w:rsidP="007C1473">
      <w:pPr>
        <w:pStyle w:val="Default"/>
        <w:jc w:val="center"/>
        <w:rPr>
          <w:lang w:val="de-DE"/>
        </w:rPr>
      </w:pPr>
    </w:p>
    <w:p w14:paraId="3C299BA5" w14:textId="77777777" w:rsidR="00172F51" w:rsidRPr="00AB2558" w:rsidRDefault="00172F51" w:rsidP="007C1473">
      <w:pPr>
        <w:pStyle w:val="Default"/>
        <w:jc w:val="center"/>
        <w:rPr>
          <w:lang w:val="de-DE"/>
        </w:rPr>
      </w:pPr>
    </w:p>
    <w:p w14:paraId="4DD9D1DF" w14:textId="5DFBDE8E" w:rsidR="00AB2558" w:rsidRPr="00AB2558" w:rsidRDefault="00AB2558" w:rsidP="00AB25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DE"/>
        </w:rPr>
      </w:pP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Physical conditions within emission regions of X-ray pulsars are truly extreme: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high temperatures (</w:t>
      </w:r>
      <w:r w:rsidRPr="00AB2558">
        <w:rPr>
          <w:rFonts w:ascii="Times New Roman" w:hAnsi="Times New Roman"/>
          <w:i/>
          <w:iCs/>
          <w:color w:val="000000"/>
          <w:sz w:val="24"/>
          <w:szCs w:val="24"/>
          <w:lang w:val="en-DE"/>
        </w:rPr>
        <w:t>T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</w:t>
      </w:r>
      <w:r w:rsidRPr="00AB2558">
        <w:rPr>
          <w:rFonts w:ascii="Cambria Math" w:hAnsi="Cambria Math" w:cs="Cambria Math"/>
          <w:color w:val="000000"/>
          <w:sz w:val="24"/>
          <w:szCs w:val="24"/>
          <w:lang w:val="en-DE"/>
        </w:rPr>
        <w:t>∼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10</w:t>
      </w:r>
      <w:r w:rsidRPr="00AB2558">
        <w:rPr>
          <w:rFonts w:ascii="Times New Roman" w:hAnsi="Times New Roman"/>
          <w:color w:val="000000"/>
          <w:sz w:val="24"/>
          <w:szCs w:val="24"/>
          <w:vertAlign w:val="superscript"/>
          <w:lang w:val="en-DE"/>
        </w:rPr>
        <w:t>8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K), strong magnetic fields (</w:t>
      </w:r>
      <w:r w:rsidRPr="00AB2558">
        <w:rPr>
          <w:rFonts w:ascii="Times New Roman" w:hAnsi="Times New Roman"/>
          <w:i/>
          <w:iCs/>
          <w:color w:val="000000"/>
          <w:sz w:val="24"/>
          <w:szCs w:val="24"/>
          <w:lang w:val="en-DE"/>
        </w:rPr>
        <w:t>B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</w:t>
      </w:r>
      <w:r w:rsidRPr="00AB2558">
        <w:rPr>
          <w:rFonts w:ascii="Cambria Math" w:hAnsi="Cambria Math" w:cs="Cambria Math"/>
          <w:color w:val="000000"/>
          <w:sz w:val="24"/>
          <w:szCs w:val="24"/>
          <w:lang w:val="en-DE"/>
        </w:rPr>
        <w:t>∼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10</w:t>
      </w:r>
      <w:r w:rsidRPr="00AB2558">
        <w:rPr>
          <w:rFonts w:ascii="Times New Roman" w:hAnsi="Times New Roman"/>
          <w:color w:val="000000"/>
          <w:sz w:val="24"/>
          <w:szCs w:val="24"/>
          <w:vertAlign w:val="superscript"/>
          <w:lang w:val="en-DE"/>
        </w:rPr>
        <w:t>12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G), and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gravity (</w:t>
      </w:r>
      <w:r w:rsidRPr="00AB2558">
        <w:rPr>
          <w:rFonts w:ascii="Times New Roman" w:hAnsi="Times New Roman"/>
          <w:i/>
          <w:iCs/>
          <w:color w:val="000000"/>
          <w:sz w:val="24"/>
          <w:szCs w:val="24"/>
          <w:lang w:val="en-DE"/>
        </w:rPr>
        <w:t>log g</w:t>
      </w:r>
      <w:r w:rsidRPr="00AB2558">
        <w:rPr>
          <w:rFonts w:ascii="Cambria Math" w:hAnsi="Cambria Math" w:cs="Cambria Math"/>
          <w:color w:val="000000"/>
          <w:sz w:val="24"/>
          <w:szCs w:val="24"/>
          <w:lang w:val="en-DE"/>
        </w:rPr>
        <w:t>∼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14) make them unique natural laboratories for fundamental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physics under extreme conditions. To fully exploit this potential, one needs,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however, to understand the astrophysics of these objects, i.e. how the observed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emission is produced, and while the basic emission mechanism, i.e. accretion,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was understood early on, a clear and coherent understanding of the physical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processes at work in the emission regions of accreting pulsars has not yet been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reached. In the talk I will present an overview of the IXPE mission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which has recently opened a new observational window in terms of X-ray polarimetry, and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first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observation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results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obtained during its first year of operation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 xml:space="preserve"> in context of studies of plasma physics in vicinity of accreting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B2558">
        <w:rPr>
          <w:rFonts w:ascii="Times New Roman" w:hAnsi="Times New Roman"/>
          <w:color w:val="000000"/>
          <w:sz w:val="24"/>
          <w:szCs w:val="24"/>
          <w:lang w:val="en-DE"/>
        </w:rPr>
        <w:t>neutron stars.</w:t>
      </w: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7C1473"/>
    <w:rsid w:val="008A02C6"/>
    <w:rsid w:val="008E26FD"/>
    <w:rsid w:val="00910550"/>
    <w:rsid w:val="009A3324"/>
    <w:rsid w:val="00AB2558"/>
    <w:rsid w:val="00B14154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EE87AF"/>
  <w15:docId w15:val="{8BCC36DA-EE85-5E47-9E37-01291FF1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Victor Doroshenko</cp:lastModifiedBy>
  <cp:revision>3</cp:revision>
  <dcterms:created xsi:type="dcterms:W3CDTF">2022-12-23T10:33:00Z</dcterms:created>
  <dcterms:modified xsi:type="dcterms:W3CDTF">2023-03-28T16:57:00Z</dcterms:modified>
</cp:coreProperties>
</file>