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88509" w14:textId="2A68BA1C" w:rsidR="00172F51" w:rsidRDefault="002C1442" w:rsidP="007C1473">
      <w:pPr>
        <w:pStyle w:val="Default"/>
        <w:jc w:val="both"/>
        <w:rPr>
          <w:b/>
          <w:bCs/>
          <w:sz w:val="28"/>
          <w:szCs w:val="28"/>
          <w:lang w:val="en-US"/>
        </w:rPr>
      </w:pPr>
      <w:r w:rsidRPr="002C1442">
        <w:rPr>
          <w:b/>
          <w:bCs/>
          <w:sz w:val="28"/>
          <w:szCs w:val="28"/>
          <w:lang w:val="en-US"/>
        </w:rPr>
        <w:t>Status of the Development and Testing of Port-Plug and ECH-Protection Components for the ITER Low-Field Side Reflectometer</w:t>
      </w:r>
    </w:p>
    <w:p w14:paraId="0EB8910D" w14:textId="77777777" w:rsidR="00EE2102" w:rsidRPr="00B00A4B" w:rsidRDefault="00EE2102" w:rsidP="007C1473">
      <w:pPr>
        <w:pStyle w:val="Default"/>
        <w:jc w:val="both"/>
        <w:rPr>
          <w:lang w:val="en-US"/>
        </w:rPr>
      </w:pPr>
    </w:p>
    <w:p w14:paraId="5D154A5B" w14:textId="6CF4FDDE" w:rsidR="002C1442" w:rsidRDefault="002C1442" w:rsidP="007C1473">
      <w:pPr>
        <w:pStyle w:val="Default"/>
        <w:jc w:val="center"/>
        <w:rPr>
          <w:lang w:val="en-US"/>
        </w:rPr>
      </w:pPr>
      <w:r w:rsidRPr="002C1442">
        <w:rPr>
          <w:lang w:val="en-US"/>
        </w:rPr>
        <w:t>C.M. Muscatello</w:t>
      </w:r>
      <w:r w:rsidRPr="002C1442">
        <w:rPr>
          <w:vertAlign w:val="superscript"/>
          <w:lang w:val="en-US"/>
        </w:rPr>
        <w:t>1</w:t>
      </w:r>
      <w:r w:rsidRPr="002C1442">
        <w:rPr>
          <w:lang w:val="en-US"/>
        </w:rPr>
        <w:t>, J.P. Anderson</w:t>
      </w:r>
      <w:r w:rsidRPr="002C1442">
        <w:rPr>
          <w:vertAlign w:val="superscript"/>
          <w:lang w:val="en-US"/>
        </w:rPr>
        <w:t>1</w:t>
      </w:r>
      <w:r w:rsidRPr="002C1442">
        <w:rPr>
          <w:lang w:val="en-US"/>
        </w:rPr>
        <w:t>, R.L. Boivin</w:t>
      </w:r>
      <w:r w:rsidRPr="002C1442">
        <w:rPr>
          <w:vertAlign w:val="superscript"/>
          <w:lang w:val="en-US"/>
        </w:rPr>
        <w:t>1</w:t>
      </w:r>
      <w:r w:rsidRPr="002C1442">
        <w:rPr>
          <w:lang w:val="en-US"/>
        </w:rPr>
        <w:t>, F. Cometa</w:t>
      </w:r>
      <w:r w:rsidRPr="002C1442">
        <w:rPr>
          <w:vertAlign w:val="superscript"/>
          <w:lang w:val="en-US"/>
        </w:rPr>
        <w:t>1</w:t>
      </w:r>
      <w:r w:rsidRPr="002C1442">
        <w:rPr>
          <w:lang w:val="en-US"/>
        </w:rPr>
        <w:t xml:space="preserve">, </w:t>
      </w:r>
      <w:r w:rsidR="00157865">
        <w:rPr>
          <w:lang w:val="en-US"/>
        </w:rPr>
        <w:t>R. Fair</w:t>
      </w:r>
      <w:r w:rsidR="00157865" w:rsidRPr="00157865">
        <w:rPr>
          <w:vertAlign w:val="superscript"/>
          <w:lang w:val="en-US"/>
        </w:rPr>
        <w:t>3</w:t>
      </w:r>
      <w:r w:rsidR="00157865">
        <w:rPr>
          <w:lang w:val="en-US"/>
        </w:rPr>
        <w:t xml:space="preserve">, </w:t>
      </w:r>
      <w:r w:rsidRPr="002C1442">
        <w:rPr>
          <w:lang w:val="en-US"/>
        </w:rPr>
        <w:t>D.K. Finkenthal</w:t>
      </w:r>
      <w:r w:rsidRPr="002C1442">
        <w:rPr>
          <w:vertAlign w:val="superscript"/>
          <w:lang w:val="en-US"/>
        </w:rPr>
        <w:t>2</w:t>
      </w:r>
      <w:r w:rsidRPr="002C1442">
        <w:rPr>
          <w:lang w:val="en-US"/>
        </w:rPr>
        <w:t>, A. Forsman</w:t>
      </w:r>
      <w:r w:rsidRPr="002C1442">
        <w:rPr>
          <w:vertAlign w:val="superscript"/>
          <w:lang w:val="en-US"/>
        </w:rPr>
        <w:t>1</w:t>
      </w:r>
      <w:r w:rsidRPr="002C1442">
        <w:rPr>
          <w:lang w:val="en-US"/>
        </w:rPr>
        <w:t>, D. Fox</w:t>
      </w:r>
      <w:r w:rsidRPr="002C1442">
        <w:rPr>
          <w:vertAlign w:val="superscript"/>
          <w:lang w:val="en-US"/>
        </w:rPr>
        <w:t>1</w:t>
      </w:r>
      <w:r w:rsidRPr="002C1442">
        <w:rPr>
          <w:lang w:val="en-US"/>
        </w:rPr>
        <w:t>, R. Gar</w:t>
      </w:r>
      <w:r w:rsidRPr="002C1442">
        <w:rPr>
          <w:vertAlign w:val="superscript"/>
          <w:lang w:val="en-US"/>
        </w:rPr>
        <w:t>1</w:t>
      </w:r>
      <w:r w:rsidRPr="002C1442">
        <w:rPr>
          <w:lang w:val="en-US"/>
        </w:rPr>
        <w:t>, A. Gattuso</w:t>
      </w:r>
      <w:r w:rsidRPr="002C1442">
        <w:rPr>
          <w:vertAlign w:val="superscript"/>
          <w:lang w:val="en-US"/>
        </w:rPr>
        <w:t>1</w:t>
      </w:r>
      <w:r w:rsidRPr="002C1442">
        <w:rPr>
          <w:lang w:val="en-US"/>
        </w:rPr>
        <w:t>, G.J. Kramer</w:t>
      </w:r>
      <w:r w:rsidRPr="002C1442">
        <w:rPr>
          <w:vertAlign w:val="superscript"/>
          <w:lang w:val="en-US"/>
        </w:rPr>
        <w:t>3</w:t>
      </w:r>
      <w:r w:rsidRPr="002C1442">
        <w:rPr>
          <w:lang w:val="en-US"/>
        </w:rPr>
        <w:t>, M. LeSher</w:t>
      </w:r>
      <w:r w:rsidRPr="002C1442">
        <w:rPr>
          <w:vertAlign w:val="superscript"/>
          <w:lang w:val="en-US"/>
        </w:rPr>
        <w:t>1</w:t>
      </w:r>
      <w:r w:rsidRPr="002C1442">
        <w:rPr>
          <w:lang w:val="en-US"/>
        </w:rPr>
        <w:t>, F. Martinez</w:t>
      </w:r>
      <w:r w:rsidRPr="002C1442">
        <w:rPr>
          <w:vertAlign w:val="superscript"/>
          <w:lang w:val="en-US"/>
        </w:rPr>
        <w:t>1</w:t>
      </w:r>
      <w:r w:rsidRPr="002C1442">
        <w:rPr>
          <w:lang w:val="en-US"/>
        </w:rPr>
        <w:t>,</w:t>
      </w:r>
      <w:r w:rsidR="00157865">
        <w:rPr>
          <w:lang w:val="en-US"/>
        </w:rPr>
        <w:t xml:space="preserve"> </w:t>
      </w:r>
      <w:r w:rsidRPr="002C1442">
        <w:rPr>
          <w:lang w:val="en-US"/>
        </w:rPr>
        <w:t>W.A. Peebles</w:t>
      </w:r>
      <w:r w:rsidRPr="002C1442">
        <w:rPr>
          <w:vertAlign w:val="superscript"/>
          <w:lang w:val="en-US"/>
        </w:rPr>
        <w:t>4</w:t>
      </w:r>
      <w:r w:rsidRPr="002C1442">
        <w:rPr>
          <w:lang w:val="en-US"/>
        </w:rPr>
        <w:t>, T.L. Rhodes</w:t>
      </w:r>
      <w:r w:rsidRPr="002C1442">
        <w:rPr>
          <w:vertAlign w:val="superscript"/>
          <w:lang w:val="en-US"/>
        </w:rPr>
        <w:t>4</w:t>
      </w:r>
      <w:r w:rsidRPr="002C1442">
        <w:rPr>
          <w:lang w:val="en-US"/>
        </w:rPr>
        <w:t>, A. Sirinelli</w:t>
      </w:r>
      <w:r w:rsidRPr="002C1442">
        <w:rPr>
          <w:vertAlign w:val="superscript"/>
          <w:lang w:val="en-US"/>
        </w:rPr>
        <w:t>5</w:t>
      </w:r>
      <w:r w:rsidRPr="002C1442">
        <w:rPr>
          <w:lang w:val="en-US"/>
        </w:rPr>
        <w:t>, D. Su</w:t>
      </w:r>
      <w:r w:rsidRPr="002C1442">
        <w:rPr>
          <w:vertAlign w:val="superscript"/>
          <w:lang w:val="en-US"/>
        </w:rPr>
        <w:t>1</w:t>
      </w:r>
      <w:r w:rsidRPr="002C1442">
        <w:rPr>
          <w:lang w:val="en-US"/>
        </w:rPr>
        <w:t>, H. Torreblanca</w:t>
      </w:r>
      <w:r w:rsidRPr="002C1442">
        <w:rPr>
          <w:vertAlign w:val="superscript"/>
          <w:lang w:val="en-US"/>
        </w:rPr>
        <w:t>6</w:t>
      </w:r>
      <w:r w:rsidRPr="002C1442">
        <w:rPr>
          <w:lang w:val="en-US"/>
        </w:rPr>
        <w:t>, L. Zeng</w:t>
      </w:r>
      <w:r w:rsidRPr="002C1442">
        <w:rPr>
          <w:vertAlign w:val="superscript"/>
          <w:lang w:val="en-US"/>
        </w:rPr>
        <w:t>4</w:t>
      </w:r>
      <w:r w:rsidRPr="002C1442">
        <w:rPr>
          <w:lang w:val="en-US"/>
        </w:rPr>
        <w:t>, A. Zolfaghari</w:t>
      </w:r>
      <w:r w:rsidRPr="002C1442">
        <w:rPr>
          <w:vertAlign w:val="superscript"/>
          <w:lang w:val="en-US"/>
        </w:rPr>
        <w:t>3</w:t>
      </w:r>
    </w:p>
    <w:p w14:paraId="793FC51E" w14:textId="77777777" w:rsidR="00B86C52" w:rsidRPr="00B86C52" w:rsidRDefault="00B86C52" w:rsidP="00B86C52">
      <w:pPr>
        <w:pStyle w:val="Default"/>
        <w:rPr>
          <w:i/>
          <w:iCs/>
          <w:sz w:val="22"/>
          <w:szCs w:val="22"/>
          <w:lang w:val="en-US"/>
        </w:rPr>
      </w:pPr>
      <w:r w:rsidRPr="00B86C52">
        <w:rPr>
          <w:i/>
          <w:iCs/>
          <w:sz w:val="22"/>
          <w:szCs w:val="22"/>
          <w:vertAlign w:val="superscript"/>
          <w:lang w:val="en-US"/>
        </w:rPr>
        <w:t>1</w:t>
      </w:r>
      <w:r w:rsidRPr="00B86C52">
        <w:rPr>
          <w:i/>
          <w:iCs/>
          <w:sz w:val="22"/>
          <w:szCs w:val="22"/>
          <w:lang w:val="en-US"/>
        </w:rPr>
        <w:t>General Atomics, 3550 General Atomics Court, San Diego, CA 92121-1122</w:t>
      </w:r>
    </w:p>
    <w:p w14:paraId="1E7A181F" w14:textId="77777777" w:rsidR="00B86C52" w:rsidRPr="00B86C52" w:rsidRDefault="00B86C52" w:rsidP="00B86C52">
      <w:pPr>
        <w:pStyle w:val="Default"/>
        <w:rPr>
          <w:i/>
          <w:iCs/>
          <w:sz w:val="22"/>
          <w:szCs w:val="22"/>
          <w:lang w:val="en-US"/>
        </w:rPr>
      </w:pPr>
      <w:r w:rsidRPr="00B86C52">
        <w:rPr>
          <w:i/>
          <w:iCs/>
          <w:sz w:val="22"/>
          <w:szCs w:val="22"/>
          <w:vertAlign w:val="superscript"/>
          <w:lang w:val="en-US"/>
        </w:rPr>
        <w:t>2</w:t>
      </w:r>
      <w:r w:rsidRPr="00B86C52">
        <w:rPr>
          <w:i/>
          <w:iCs/>
          <w:sz w:val="22"/>
          <w:szCs w:val="22"/>
          <w:lang w:val="en-US"/>
        </w:rPr>
        <w:t>Palomar Scientific Instruments, San Marcos, CA 92069</w:t>
      </w:r>
    </w:p>
    <w:p w14:paraId="4CFC196E" w14:textId="77777777" w:rsidR="00B86C52" w:rsidRPr="00B86C52" w:rsidRDefault="00B86C52" w:rsidP="00B86C52">
      <w:pPr>
        <w:pStyle w:val="Default"/>
        <w:rPr>
          <w:i/>
          <w:iCs/>
          <w:sz w:val="22"/>
          <w:szCs w:val="22"/>
          <w:lang w:val="en-US"/>
        </w:rPr>
      </w:pPr>
      <w:r w:rsidRPr="00B86C52">
        <w:rPr>
          <w:i/>
          <w:iCs/>
          <w:sz w:val="22"/>
          <w:szCs w:val="22"/>
          <w:vertAlign w:val="superscript"/>
          <w:lang w:val="en-US"/>
        </w:rPr>
        <w:t>3</w:t>
      </w:r>
      <w:r w:rsidRPr="00B86C52">
        <w:rPr>
          <w:i/>
          <w:iCs/>
          <w:sz w:val="22"/>
          <w:szCs w:val="22"/>
          <w:lang w:val="en-US"/>
        </w:rPr>
        <w:t>Princeton Plasma Physics Laboratory, P.O. Box 451, Princeton, NJ 08543-0451</w:t>
      </w:r>
    </w:p>
    <w:p w14:paraId="7E686554" w14:textId="77777777" w:rsidR="00B86C52" w:rsidRPr="00B86C52" w:rsidRDefault="00B86C52" w:rsidP="00B86C52">
      <w:pPr>
        <w:pStyle w:val="Default"/>
        <w:rPr>
          <w:i/>
          <w:iCs/>
          <w:sz w:val="22"/>
          <w:szCs w:val="22"/>
          <w:lang w:val="en-US"/>
        </w:rPr>
      </w:pPr>
      <w:r w:rsidRPr="00B86C52">
        <w:rPr>
          <w:i/>
          <w:iCs/>
          <w:sz w:val="22"/>
          <w:szCs w:val="22"/>
          <w:vertAlign w:val="superscript"/>
          <w:lang w:val="en-US"/>
        </w:rPr>
        <w:t>4</w:t>
      </w:r>
      <w:r w:rsidRPr="00B86C52">
        <w:rPr>
          <w:i/>
          <w:iCs/>
          <w:sz w:val="22"/>
          <w:szCs w:val="22"/>
          <w:lang w:val="en-US"/>
        </w:rPr>
        <w:t>University of California, Los Angeles, 475 Portola Plaza, Los Angeles, CA 90095-1547</w:t>
      </w:r>
    </w:p>
    <w:p w14:paraId="06043597" w14:textId="77777777" w:rsidR="00B86C52" w:rsidRPr="00B86C52" w:rsidRDefault="00B86C52" w:rsidP="00B86C52">
      <w:pPr>
        <w:pStyle w:val="Default"/>
        <w:rPr>
          <w:i/>
          <w:iCs/>
          <w:sz w:val="22"/>
          <w:szCs w:val="22"/>
          <w:lang w:val="fr-FR"/>
        </w:rPr>
      </w:pPr>
      <w:r w:rsidRPr="00B86C52">
        <w:rPr>
          <w:i/>
          <w:iCs/>
          <w:sz w:val="22"/>
          <w:szCs w:val="22"/>
          <w:vertAlign w:val="superscript"/>
          <w:lang w:val="fr-FR"/>
        </w:rPr>
        <w:t>5</w:t>
      </w:r>
      <w:r w:rsidRPr="00B86C52">
        <w:rPr>
          <w:i/>
          <w:iCs/>
          <w:sz w:val="22"/>
          <w:szCs w:val="22"/>
          <w:lang w:val="fr-FR"/>
        </w:rPr>
        <w:t xml:space="preserve">ITER </w:t>
      </w:r>
      <w:proofErr w:type="spellStart"/>
      <w:r w:rsidRPr="00B86C52">
        <w:rPr>
          <w:i/>
          <w:iCs/>
          <w:sz w:val="22"/>
          <w:szCs w:val="22"/>
          <w:lang w:val="fr-FR"/>
        </w:rPr>
        <w:t>Organization</w:t>
      </w:r>
      <w:proofErr w:type="spellEnd"/>
      <w:r w:rsidRPr="00B86C52">
        <w:rPr>
          <w:i/>
          <w:iCs/>
          <w:sz w:val="22"/>
          <w:szCs w:val="22"/>
          <w:lang w:val="fr-FR"/>
        </w:rPr>
        <w:t xml:space="preserve">, Route de </w:t>
      </w:r>
      <w:proofErr w:type="spellStart"/>
      <w:r w:rsidRPr="00B86C52">
        <w:rPr>
          <w:i/>
          <w:iCs/>
          <w:sz w:val="22"/>
          <w:szCs w:val="22"/>
          <w:lang w:val="fr-FR"/>
        </w:rPr>
        <w:t>Vinon</w:t>
      </w:r>
      <w:proofErr w:type="spellEnd"/>
      <w:r w:rsidRPr="00B86C52">
        <w:rPr>
          <w:i/>
          <w:iCs/>
          <w:sz w:val="22"/>
          <w:szCs w:val="22"/>
          <w:lang w:val="fr-FR"/>
        </w:rPr>
        <w:t xml:space="preserve"> sur Verdon, 13115, St Paul Lez Durance, France</w:t>
      </w:r>
    </w:p>
    <w:p w14:paraId="536DF3AA" w14:textId="6A888EE3" w:rsidR="00172F51" w:rsidRPr="007C1473" w:rsidRDefault="00B86C52" w:rsidP="00B86C52">
      <w:pPr>
        <w:pStyle w:val="Default"/>
        <w:rPr>
          <w:lang w:val="en-US"/>
        </w:rPr>
      </w:pPr>
      <w:r w:rsidRPr="00B86C52">
        <w:rPr>
          <w:i/>
          <w:iCs/>
          <w:sz w:val="22"/>
          <w:szCs w:val="22"/>
          <w:vertAlign w:val="superscript"/>
          <w:lang w:val="en-US"/>
        </w:rPr>
        <w:t>6</w:t>
      </w:r>
      <w:r w:rsidRPr="00B86C52">
        <w:rPr>
          <w:i/>
          <w:iCs/>
          <w:sz w:val="22"/>
          <w:szCs w:val="22"/>
          <w:lang w:val="en-US"/>
        </w:rPr>
        <w:t>CompX, P.O. Box 2672, Del Mar, CA 92014-5672 USA</w:t>
      </w:r>
    </w:p>
    <w:p w14:paraId="3C299BA5" w14:textId="77777777" w:rsidR="00172F51" w:rsidRPr="007C1473" w:rsidRDefault="00172F51" w:rsidP="007C1473">
      <w:pPr>
        <w:pStyle w:val="Default"/>
        <w:jc w:val="center"/>
        <w:rPr>
          <w:lang w:val="en-US"/>
        </w:rPr>
      </w:pPr>
    </w:p>
    <w:p w14:paraId="5694DC44" w14:textId="77777777" w:rsidR="00EE2102" w:rsidRPr="00EE2102" w:rsidRDefault="00EE2102" w:rsidP="00EE2102">
      <w:pPr>
        <w:pStyle w:val="Default"/>
        <w:jc w:val="both"/>
        <w:rPr>
          <w:lang w:val="en-US"/>
        </w:rPr>
      </w:pPr>
      <w:r w:rsidRPr="00EE2102">
        <w:rPr>
          <w:lang w:val="en-US"/>
        </w:rPr>
        <w:t>We report the status of various microwave components of the vacuum and ECH-protection sub-systems of the ITER Low-Field Side Reflectometer (LFSR). These components consist of:</w:t>
      </w:r>
    </w:p>
    <w:p w14:paraId="27D306F4" w14:textId="59A16122" w:rsidR="00EE2102" w:rsidRPr="00EE2102" w:rsidRDefault="00EE2102" w:rsidP="00EE2102">
      <w:pPr>
        <w:pStyle w:val="Default"/>
        <w:jc w:val="both"/>
        <w:rPr>
          <w:lang w:val="en-US"/>
        </w:rPr>
      </w:pPr>
      <w:r w:rsidRPr="00EE2102">
        <w:rPr>
          <w:lang w:val="en-US"/>
        </w:rPr>
        <w:t>1.</w:t>
      </w:r>
      <w:r w:rsidRPr="00EE2102">
        <w:rPr>
          <w:lang w:val="en-US"/>
        </w:rPr>
        <w:tab/>
        <w:t>Antenna array: The array consists of 6 antennas for simultaneous profile, fluctuation, and Doppler measurements. High accuracy of the aiming of the profile antennas is required for sufficient monostatic coupling of the reflection. The coupling versus aiming, as measured in the laboratory and with full-wave modeling with an ITER plasma, is used to specify the pointing direction and associated error of the LFSR antennas.</w:t>
      </w:r>
    </w:p>
    <w:p w14:paraId="65BE87D8" w14:textId="1F184526" w:rsidR="00EE2102" w:rsidRPr="00EE2102" w:rsidRDefault="00EE2102" w:rsidP="00EE2102">
      <w:pPr>
        <w:pStyle w:val="Default"/>
        <w:jc w:val="both"/>
        <w:rPr>
          <w:lang w:val="en-US"/>
        </w:rPr>
      </w:pPr>
      <w:r w:rsidRPr="00EE2102">
        <w:rPr>
          <w:lang w:val="en-US"/>
        </w:rPr>
        <w:t>2.</w:t>
      </w:r>
      <w:r w:rsidRPr="00EE2102">
        <w:rPr>
          <w:lang w:val="en-US"/>
        </w:rPr>
        <w:tab/>
        <w:t>Vacuum windows: Windows produce unwanted reflections that can cause noise and clutter in the reflectometer signals, as well as frequency-dependent loss. Dual, redundant windows are used at the vacuum boundary for safety-protection that further exacerbate these issues. Broadband transmission improvement can be achieved with an anti-reflective layer, corroborated by modeling and measurements.</w:t>
      </w:r>
    </w:p>
    <w:p w14:paraId="596E5511" w14:textId="37276511" w:rsidR="00EE2102" w:rsidRPr="00EE2102" w:rsidRDefault="00EE2102" w:rsidP="00EE2102">
      <w:pPr>
        <w:pStyle w:val="Default"/>
        <w:jc w:val="both"/>
        <w:rPr>
          <w:lang w:val="en-US"/>
        </w:rPr>
      </w:pPr>
      <w:r w:rsidRPr="00EE2102">
        <w:rPr>
          <w:lang w:val="en-US"/>
        </w:rPr>
        <w:t>3.</w:t>
      </w:r>
      <w:r w:rsidRPr="00EE2102">
        <w:rPr>
          <w:lang w:val="en-US"/>
        </w:rPr>
        <w:tab/>
        <w:t>Phase calibration mirror: For absolute phase calibration of the LFSR profile reflectometer, an embossed mirror is incorporated into an in-vessel miter bend. Demonstration of real-time phase measurements using the in-situ calibration technique is performed with the DIII-D profile reflectometer. The field tests successfully demonstrate the feasibility of the calibration technique for LFSR; real-time calculations of the phase profiles agree well with the standard DIII-D post-processing analysis.</w:t>
      </w:r>
    </w:p>
    <w:p w14:paraId="78C240B8" w14:textId="77777777" w:rsidR="00EE2102" w:rsidRPr="00EE2102" w:rsidRDefault="00EE2102" w:rsidP="00EE2102">
      <w:pPr>
        <w:pStyle w:val="Default"/>
        <w:jc w:val="both"/>
        <w:rPr>
          <w:lang w:val="en-US"/>
        </w:rPr>
      </w:pPr>
      <w:r w:rsidRPr="00EE2102">
        <w:rPr>
          <w:lang w:val="en-US"/>
        </w:rPr>
        <w:t>4.</w:t>
      </w:r>
      <w:r w:rsidRPr="00EE2102">
        <w:rPr>
          <w:lang w:val="en-US"/>
        </w:rPr>
        <w:tab/>
        <w:t xml:space="preserve">ECH protection mirror and monitor: The stray-ECH protection system for LFSR consists of both passive and active components. Passive diffraction gratings are the system’s first line of defense, rejecting 20 dB of power at 170 GHz. Another layer of defense is a waveguide-integrated power monitor that shutters the back-end electronics in the case of a high-power event. </w:t>
      </w:r>
    </w:p>
    <w:p w14:paraId="521EF359" w14:textId="20B202CC" w:rsidR="00EE2102" w:rsidRPr="00172F51" w:rsidRDefault="00EE2102" w:rsidP="00EE2102">
      <w:pPr>
        <w:pStyle w:val="Default"/>
        <w:jc w:val="both"/>
        <w:rPr>
          <w:lang w:val="en-US"/>
        </w:rPr>
      </w:pPr>
      <w:r w:rsidRPr="00EE2102">
        <w:rPr>
          <w:lang w:val="en-US"/>
        </w:rPr>
        <w:t>The current design and initial measurements of these components will be described.</w:t>
      </w:r>
    </w:p>
    <w:sectPr w:rsidR="00EE2102" w:rsidRPr="00172F51" w:rsidSect="00EE2102">
      <w:footerReference w:type="default" r:id="rId7"/>
      <w:pgSz w:w="11906" w:h="16838"/>
      <w:pgMar w:top="1701" w:right="1701" w:bottom="1701"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772CC" w14:textId="77777777" w:rsidR="00F24BE5" w:rsidRDefault="00F24BE5" w:rsidP="00EE2102">
      <w:pPr>
        <w:spacing w:after="0" w:line="240" w:lineRule="auto"/>
      </w:pPr>
      <w:r>
        <w:separator/>
      </w:r>
    </w:p>
  </w:endnote>
  <w:endnote w:type="continuationSeparator" w:id="0">
    <w:p w14:paraId="5CB58643" w14:textId="77777777" w:rsidR="00F24BE5" w:rsidRDefault="00F24BE5" w:rsidP="00EE2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2A414" w14:textId="0326FA1A" w:rsidR="00EE2102" w:rsidRPr="00F44E5B" w:rsidRDefault="00F44E5B" w:rsidP="00F44E5B">
    <w:pPr>
      <w:pStyle w:val="gmail-default"/>
      <w:spacing w:before="0" w:beforeAutospacing="0" w:after="0" w:afterAutospacing="0" w:line="200" w:lineRule="atLeast"/>
      <w:jc w:val="both"/>
      <w:rPr>
        <w:rFonts w:ascii="Times New Roman" w:hAnsi="Times New Roman" w:cs="Times New Roman"/>
        <w:color w:val="000000"/>
        <w:sz w:val="24"/>
        <w:szCs w:val="24"/>
      </w:rPr>
    </w:pPr>
    <w:r>
      <w:rPr>
        <w:rFonts w:ascii="Times New Roman" w:hAnsi="Times New Roman" w:cs="Times New Roman"/>
        <w:i/>
        <w:iCs/>
        <w:color w:val="000000"/>
        <w:sz w:val="17"/>
        <w:szCs w:val="17"/>
        <w:shd w:val="clear" w:color="auto" w:fill="FDFDFD"/>
        <w:lang w:val="el-GR"/>
      </w:rPr>
      <w:t>This work is supported by US DOE Contract No. DE-AC02-09CH11466. All US activities are managed by the US ITER Project Oﬃce, hosted by Oak Ridge National Laboratory with partner labs Princeton Plasma Physics Laboratory and Savannah River National Lab-oratory. The project is being accomplished through a collaboration of DOE Laboratories, universities and industry. The views and opinions expressed herein do not necessarily reﬂect those of the ITER Organization.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726DF" w14:textId="77777777" w:rsidR="00F24BE5" w:rsidRDefault="00F24BE5" w:rsidP="00EE2102">
      <w:pPr>
        <w:spacing w:after="0" w:line="240" w:lineRule="auto"/>
      </w:pPr>
      <w:r>
        <w:separator/>
      </w:r>
    </w:p>
  </w:footnote>
  <w:footnote w:type="continuationSeparator" w:id="0">
    <w:p w14:paraId="123096F7" w14:textId="77777777" w:rsidR="00F24BE5" w:rsidRDefault="00F24BE5" w:rsidP="00EE21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51"/>
    <w:rsid w:val="0007701F"/>
    <w:rsid w:val="00157865"/>
    <w:rsid w:val="00172F51"/>
    <w:rsid w:val="002613C6"/>
    <w:rsid w:val="002A0132"/>
    <w:rsid w:val="002B1B1E"/>
    <w:rsid w:val="002C1442"/>
    <w:rsid w:val="0047107B"/>
    <w:rsid w:val="004B6517"/>
    <w:rsid w:val="004E0655"/>
    <w:rsid w:val="00574ABC"/>
    <w:rsid w:val="00596332"/>
    <w:rsid w:val="005B2E78"/>
    <w:rsid w:val="007C1473"/>
    <w:rsid w:val="008A02C6"/>
    <w:rsid w:val="008C1D0E"/>
    <w:rsid w:val="008E26FD"/>
    <w:rsid w:val="00910550"/>
    <w:rsid w:val="009A3324"/>
    <w:rsid w:val="00B14154"/>
    <w:rsid w:val="00B86C52"/>
    <w:rsid w:val="00C67C56"/>
    <w:rsid w:val="00DC42A2"/>
    <w:rsid w:val="00E16B73"/>
    <w:rsid w:val="00E412FD"/>
    <w:rsid w:val="00E50186"/>
    <w:rsid w:val="00EE2102"/>
    <w:rsid w:val="00F16065"/>
    <w:rsid w:val="00F24BE5"/>
    <w:rsid w:val="00F44E5B"/>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48CD15C0-7365-5E43-8D8F-161F6008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BalloonText">
    <w:name w:val="Balloon Text"/>
    <w:basedOn w:val="Normal"/>
    <w:link w:val="BalloonTextChar"/>
    <w:rsid w:val="002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0132"/>
    <w:rPr>
      <w:rFonts w:ascii="Tahoma" w:hAnsi="Tahoma" w:cs="Tahoma"/>
      <w:sz w:val="16"/>
      <w:szCs w:val="16"/>
      <w:lang w:val="el-GR" w:eastAsia="el-GR"/>
    </w:rPr>
  </w:style>
  <w:style w:type="paragraph" w:styleId="FootnoteText">
    <w:name w:val="footnote text"/>
    <w:basedOn w:val="Normal"/>
    <w:link w:val="FootnoteTextChar"/>
    <w:semiHidden/>
    <w:unhideWhenUsed/>
    <w:rsid w:val="00EE2102"/>
    <w:pPr>
      <w:spacing w:after="0" w:line="240" w:lineRule="auto"/>
    </w:pPr>
    <w:rPr>
      <w:sz w:val="20"/>
      <w:szCs w:val="20"/>
    </w:rPr>
  </w:style>
  <w:style w:type="character" w:customStyle="1" w:styleId="FootnoteTextChar">
    <w:name w:val="Footnote Text Char"/>
    <w:basedOn w:val="DefaultParagraphFont"/>
    <w:link w:val="FootnoteText"/>
    <w:semiHidden/>
    <w:rsid w:val="00EE2102"/>
    <w:rPr>
      <w:rFonts w:ascii="Calibri" w:hAnsi="Calibri"/>
      <w:lang w:val="el-GR" w:eastAsia="el-GR"/>
    </w:rPr>
  </w:style>
  <w:style w:type="character" w:styleId="FootnoteReference">
    <w:name w:val="footnote reference"/>
    <w:basedOn w:val="DefaultParagraphFont"/>
    <w:semiHidden/>
    <w:unhideWhenUsed/>
    <w:rsid w:val="00EE2102"/>
    <w:rPr>
      <w:vertAlign w:val="superscript"/>
    </w:rPr>
  </w:style>
  <w:style w:type="paragraph" w:styleId="EndnoteText">
    <w:name w:val="endnote text"/>
    <w:basedOn w:val="Normal"/>
    <w:link w:val="EndnoteTextChar"/>
    <w:semiHidden/>
    <w:unhideWhenUsed/>
    <w:rsid w:val="00EE2102"/>
    <w:pPr>
      <w:spacing w:after="0" w:line="240" w:lineRule="auto"/>
    </w:pPr>
    <w:rPr>
      <w:sz w:val="20"/>
      <w:szCs w:val="20"/>
    </w:rPr>
  </w:style>
  <w:style w:type="character" w:customStyle="1" w:styleId="EndnoteTextChar">
    <w:name w:val="Endnote Text Char"/>
    <w:basedOn w:val="DefaultParagraphFont"/>
    <w:link w:val="EndnoteText"/>
    <w:semiHidden/>
    <w:rsid w:val="00EE2102"/>
    <w:rPr>
      <w:rFonts w:ascii="Calibri" w:hAnsi="Calibri"/>
      <w:lang w:val="el-GR" w:eastAsia="el-GR"/>
    </w:rPr>
  </w:style>
  <w:style w:type="character" w:styleId="EndnoteReference">
    <w:name w:val="endnote reference"/>
    <w:basedOn w:val="DefaultParagraphFont"/>
    <w:semiHidden/>
    <w:unhideWhenUsed/>
    <w:rsid w:val="00EE2102"/>
    <w:rPr>
      <w:vertAlign w:val="superscript"/>
    </w:rPr>
  </w:style>
  <w:style w:type="paragraph" w:styleId="Header">
    <w:name w:val="header"/>
    <w:basedOn w:val="Normal"/>
    <w:link w:val="HeaderChar"/>
    <w:unhideWhenUsed/>
    <w:rsid w:val="00EE2102"/>
    <w:pPr>
      <w:tabs>
        <w:tab w:val="center" w:pos="4680"/>
        <w:tab w:val="right" w:pos="9360"/>
      </w:tabs>
      <w:spacing w:after="0" w:line="240" w:lineRule="auto"/>
    </w:pPr>
  </w:style>
  <w:style w:type="character" w:customStyle="1" w:styleId="HeaderChar">
    <w:name w:val="Header Char"/>
    <w:basedOn w:val="DefaultParagraphFont"/>
    <w:link w:val="Header"/>
    <w:rsid w:val="00EE2102"/>
    <w:rPr>
      <w:rFonts w:ascii="Calibri" w:hAnsi="Calibri"/>
      <w:sz w:val="22"/>
      <w:szCs w:val="22"/>
      <w:lang w:val="el-GR" w:eastAsia="el-GR"/>
    </w:rPr>
  </w:style>
  <w:style w:type="paragraph" w:styleId="Footer">
    <w:name w:val="footer"/>
    <w:basedOn w:val="Normal"/>
    <w:link w:val="FooterChar"/>
    <w:uiPriority w:val="99"/>
    <w:unhideWhenUsed/>
    <w:rsid w:val="00EE2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102"/>
    <w:rPr>
      <w:rFonts w:ascii="Calibri" w:hAnsi="Calibri"/>
      <w:sz w:val="22"/>
      <w:szCs w:val="22"/>
      <w:lang w:val="el-GR" w:eastAsia="el-GR"/>
    </w:rPr>
  </w:style>
  <w:style w:type="paragraph" w:customStyle="1" w:styleId="gmail-default">
    <w:name w:val="gmail-default"/>
    <w:basedOn w:val="Normal"/>
    <w:rsid w:val="00F44E5B"/>
    <w:pPr>
      <w:spacing w:before="100" w:beforeAutospacing="1" w:after="100" w:afterAutospacing="1" w:line="240" w:lineRule="auto"/>
    </w:pPr>
    <w:rPr>
      <w:rFonts w:eastAsiaTheme="minorHAnsi"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61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C30B7-CD61-6542-BF49-A5B21674F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2369</Characters>
  <Application>Microsoft Office Word</Application>
  <DocSecurity>0</DocSecurity>
  <Lines>19</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Cometa, Francis</cp:lastModifiedBy>
  <cp:revision>3</cp:revision>
  <dcterms:created xsi:type="dcterms:W3CDTF">2023-02-01T17:50:00Z</dcterms:created>
  <dcterms:modified xsi:type="dcterms:W3CDTF">2023-02-01T17:51:00Z</dcterms:modified>
</cp:coreProperties>
</file>