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1665B" w14:textId="75E88895" w:rsidR="00172F51" w:rsidRPr="0036332F" w:rsidRDefault="0036332F" w:rsidP="007C1473">
      <w:pPr>
        <w:pStyle w:val="Default"/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Characterization of ion beam generated by an </w:t>
      </w:r>
      <w:proofErr w:type="gramStart"/>
      <w:r>
        <w:rPr>
          <w:b/>
          <w:bCs/>
          <w:sz w:val="28"/>
          <w:szCs w:val="28"/>
          <w:lang w:val="en-US"/>
        </w:rPr>
        <w:t>anode layer ion source</w:t>
      </w:r>
      <w:proofErr w:type="gramEnd"/>
    </w:p>
    <w:p w14:paraId="35088509" w14:textId="77777777" w:rsidR="00172F51" w:rsidRPr="00B00A4B" w:rsidRDefault="00172F51" w:rsidP="007C1473">
      <w:pPr>
        <w:pStyle w:val="Default"/>
        <w:jc w:val="both"/>
        <w:rPr>
          <w:lang w:val="en-US"/>
        </w:rPr>
      </w:pPr>
    </w:p>
    <w:p w14:paraId="22E48456" w14:textId="63AEDF9B" w:rsidR="0007701F" w:rsidRPr="007C1473" w:rsidRDefault="00335298" w:rsidP="007C1473">
      <w:pPr>
        <w:pStyle w:val="Default"/>
        <w:jc w:val="center"/>
        <w:rPr>
          <w:lang w:val="en-US"/>
        </w:rPr>
      </w:pPr>
      <w:r>
        <w:rPr>
          <w:lang w:val="en-US"/>
        </w:rPr>
        <w:t>A.V. Kaziev</w:t>
      </w:r>
      <w:r w:rsidR="00172F51" w:rsidRPr="007C1473">
        <w:rPr>
          <w:vertAlign w:val="superscript"/>
          <w:lang w:val="en-US"/>
        </w:rPr>
        <w:t>1</w:t>
      </w:r>
      <w:r w:rsidR="00172F51" w:rsidRPr="007C1473">
        <w:rPr>
          <w:lang w:val="en-US"/>
        </w:rPr>
        <w:t xml:space="preserve">, </w:t>
      </w:r>
      <w:r>
        <w:rPr>
          <w:lang w:val="en-US"/>
        </w:rPr>
        <w:t>D.V. Kolodko</w:t>
      </w:r>
      <w:r w:rsidR="00667477" w:rsidRPr="00667477">
        <w:rPr>
          <w:vertAlign w:val="superscript"/>
          <w:lang w:val="en-US"/>
        </w:rPr>
        <w:t>1</w:t>
      </w:r>
      <w:proofErr w:type="gramStart"/>
      <w:r w:rsidR="00667477" w:rsidRPr="00667477">
        <w:rPr>
          <w:vertAlign w:val="superscript"/>
          <w:lang w:val="en-US"/>
        </w:rPr>
        <w:t>,</w:t>
      </w:r>
      <w:r w:rsidR="00172F51" w:rsidRPr="007C1473">
        <w:rPr>
          <w:vertAlign w:val="superscript"/>
          <w:lang w:val="en-US"/>
        </w:rPr>
        <w:t>2</w:t>
      </w:r>
      <w:proofErr w:type="gramEnd"/>
      <w:r w:rsidR="00172F51" w:rsidRPr="007C1473">
        <w:rPr>
          <w:lang w:val="en-US"/>
        </w:rPr>
        <w:t xml:space="preserve">, </w:t>
      </w:r>
      <w:r w:rsidR="0036332F">
        <w:rPr>
          <w:lang w:val="en-US"/>
        </w:rPr>
        <w:t>M</w:t>
      </w:r>
      <w:r>
        <w:rPr>
          <w:lang w:val="en-US"/>
        </w:rPr>
        <w:t>.</w:t>
      </w:r>
      <w:r w:rsidR="0036332F">
        <w:rPr>
          <w:lang w:val="en-US"/>
        </w:rPr>
        <w:t>S</w:t>
      </w:r>
      <w:r>
        <w:rPr>
          <w:lang w:val="en-US"/>
        </w:rPr>
        <w:t xml:space="preserve">. </w:t>
      </w:r>
      <w:r w:rsidR="0036332F">
        <w:rPr>
          <w:lang w:val="en-US"/>
        </w:rPr>
        <w:t>Novikov</w:t>
      </w:r>
      <w:r w:rsidR="00667477" w:rsidRPr="00667477">
        <w:rPr>
          <w:vertAlign w:val="superscript"/>
          <w:lang w:val="en-US"/>
        </w:rPr>
        <w:t>1</w:t>
      </w:r>
      <w:r w:rsidR="00172F51" w:rsidRPr="007C1473">
        <w:rPr>
          <w:lang w:val="en-US"/>
        </w:rPr>
        <w:t xml:space="preserve">, </w:t>
      </w:r>
      <w:proofErr w:type="spellStart"/>
      <w:r w:rsidR="0036332F">
        <w:rPr>
          <w:lang w:val="en-US"/>
        </w:rPr>
        <w:t>Ya</w:t>
      </w:r>
      <w:r>
        <w:rPr>
          <w:lang w:val="en-US"/>
        </w:rPr>
        <w:t>.</w:t>
      </w:r>
      <w:r w:rsidR="0036332F">
        <w:rPr>
          <w:lang w:val="en-US"/>
        </w:rPr>
        <w:t>D</w:t>
      </w:r>
      <w:proofErr w:type="spellEnd"/>
      <w:r>
        <w:rPr>
          <w:lang w:val="en-US"/>
        </w:rPr>
        <w:t>. K</w:t>
      </w:r>
      <w:r w:rsidR="0036332F">
        <w:rPr>
          <w:lang w:val="en-US"/>
        </w:rPr>
        <w:t>iryukhin</w:t>
      </w:r>
      <w:r w:rsidR="00667477" w:rsidRPr="00667477">
        <w:rPr>
          <w:vertAlign w:val="superscript"/>
          <w:lang w:val="en-US"/>
        </w:rPr>
        <w:t>1</w:t>
      </w:r>
    </w:p>
    <w:p w14:paraId="33B59775" w14:textId="3C5CF9F1" w:rsidR="00172F51" w:rsidRPr="00B00A4B" w:rsidRDefault="00172F51" w:rsidP="007C1473">
      <w:pPr>
        <w:pStyle w:val="Default"/>
        <w:jc w:val="center"/>
        <w:rPr>
          <w:sz w:val="22"/>
          <w:szCs w:val="22"/>
          <w:lang w:val="en-US"/>
        </w:rPr>
      </w:pPr>
      <w:proofErr w:type="gramStart"/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proofErr w:type="gramEnd"/>
      <w:r w:rsidRPr="00B00A4B">
        <w:rPr>
          <w:i/>
          <w:iCs/>
          <w:sz w:val="22"/>
          <w:szCs w:val="22"/>
          <w:lang w:val="en-US"/>
        </w:rPr>
        <w:t xml:space="preserve"> </w:t>
      </w:r>
      <w:bookmarkStart w:id="0" w:name="_GoBack"/>
      <w:r w:rsidR="006D3926" w:rsidRPr="00BA005B">
        <w:rPr>
          <w:i/>
          <w:iCs/>
          <w:sz w:val="22"/>
          <w:szCs w:val="22"/>
          <w:lang w:val="en-US"/>
        </w:rPr>
        <w:t xml:space="preserve">National Research Nuclear University </w:t>
      </w:r>
      <w:proofErr w:type="spellStart"/>
      <w:r w:rsidR="006D3926" w:rsidRPr="00BA005B">
        <w:rPr>
          <w:i/>
          <w:iCs/>
          <w:sz w:val="22"/>
          <w:szCs w:val="22"/>
          <w:lang w:val="en-US"/>
        </w:rPr>
        <w:t>MEPhI</w:t>
      </w:r>
      <w:proofErr w:type="spellEnd"/>
      <w:r w:rsidR="006D3926" w:rsidRPr="00BA005B">
        <w:rPr>
          <w:i/>
          <w:iCs/>
          <w:sz w:val="22"/>
          <w:szCs w:val="22"/>
          <w:lang w:val="en-US"/>
        </w:rPr>
        <w:t xml:space="preserve"> (Moscow Engineering Physics Institute)</w:t>
      </w:r>
      <w:r w:rsidR="006D3926" w:rsidRPr="00B00A4B">
        <w:rPr>
          <w:i/>
          <w:iCs/>
          <w:sz w:val="22"/>
          <w:szCs w:val="22"/>
          <w:lang w:val="en-US"/>
        </w:rPr>
        <w:t xml:space="preserve">, </w:t>
      </w:r>
      <w:r w:rsidR="009F522B">
        <w:rPr>
          <w:i/>
          <w:iCs/>
          <w:sz w:val="22"/>
          <w:szCs w:val="22"/>
          <w:lang w:val="en-US"/>
        </w:rPr>
        <w:t xml:space="preserve">Moscow, </w:t>
      </w:r>
      <w:r w:rsidR="006D3926">
        <w:rPr>
          <w:i/>
          <w:iCs/>
          <w:sz w:val="22"/>
          <w:szCs w:val="22"/>
          <w:lang w:val="en-US"/>
        </w:rPr>
        <w:t>Russia</w:t>
      </w:r>
      <w:bookmarkEnd w:id="0"/>
    </w:p>
    <w:p w14:paraId="58803087" w14:textId="490E698A" w:rsidR="00172F51" w:rsidRPr="00B00A4B" w:rsidRDefault="00172F51" w:rsidP="007C1473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2</w:t>
      </w:r>
      <w:r w:rsidRPr="00B00A4B">
        <w:rPr>
          <w:i/>
          <w:iCs/>
          <w:sz w:val="22"/>
          <w:szCs w:val="22"/>
          <w:lang w:val="en-US"/>
        </w:rPr>
        <w:t xml:space="preserve"> </w:t>
      </w:r>
      <w:proofErr w:type="spellStart"/>
      <w:r w:rsidR="00667477" w:rsidRPr="00667477">
        <w:rPr>
          <w:i/>
          <w:iCs/>
          <w:sz w:val="22"/>
          <w:szCs w:val="22"/>
          <w:lang w:val="en-US"/>
        </w:rPr>
        <w:t>Kotelnikov</w:t>
      </w:r>
      <w:proofErr w:type="spellEnd"/>
      <w:r w:rsidR="00667477" w:rsidRPr="00667477">
        <w:rPr>
          <w:i/>
          <w:iCs/>
          <w:sz w:val="22"/>
          <w:szCs w:val="22"/>
          <w:lang w:val="en-US"/>
        </w:rPr>
        <w:t xml:space="preserve"> Institute of Radio Engineering and Electronics RAS</w:t>
      </w:r>
      <w:r w:rsidRPr="00B00A4B">
        <w:rPr>
          <w:i/>
          <w:iCs/>
          <w:sz w:val="22"/>
          <w:szCs w:val="22"/>
          <w:lang w:val="en-US"/>
        </w:rPr>
        <w:t xml:space="preserve">, </w:t>
      </w:r>
      <w:proofErr w:type="spellStart"/>
      <w:r w:rsidR="00667477">
        <w:rPr>
          <w:i/>
          <w:iCs/>
          <w:sz w:val="22"/>
          <w:szCs w:val="22"/>
          <w:lang w:val="en-US"/>
        </w:rPr>
        <w:t>Fryazino</w:t>
      </w:r>
      <w:proofErr w:type="spellEnd"/>
      <w:r w:rsidRPr="00B00A4B">
        <w:rPr>
          <w:i/>
          <w:iCs/>
          <w:sz w:val="22"/>
          <w:szCs w:val="22"/>
          <w:lang w:val="en-US"/>
        </w:rPr>
        <w:t xml:space="preserve">, </w:t>
      </w:r>
      <w:r w:rsidR="00667477">
        <w:rPr>
          <w:i/>
          <w:iCs/>
          <w:sz w:val="22"/>
          <w:szCs w:val="22"/>
          <w:lang w:val="en-US"/>
        </w:rPr>
        <w:t>Russia</w:t>
      </w:r>
    </w:p>
    <w:p w14:paraId="536DF3AA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3C299BA5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5AB82C5F" w14:textId="2118A91F" w:rsidR="0036332F" w:rsidRDefault="0036332F" w:rsidP="0036332F">
      <w:pPr>
        <w:pStyle w:val="Default"/>
        <w:jc w:val="both"/>
        <w:rPr>
          <w:lang w:val="en-US"/>
        </w:rPr>
      </w:pPr>
      <w:r>
        <w:rPr>
          <w:lang w:val="en-US"/>
        </w:rPr>
        <w:t>P</w:t>
      </w:r>
      <w:r w:rsidRPr="0036332F">
        <w:rPr>
          <w:lang w:val="en-US"/>
        </w:rPr>
        <w:t xml:space="preserve">lasma technologies are widely </w:t>
      </w:r>
      <w:r>
        <w:rPr>
          <w:lang w:val="en-US"/>
        </w:rPr>
        <w:t>applied</w:t>
      </w:r>
      <w:r w:rsidRPr="0036332F">
        <w:rPr>
          <w:lang w:val="en-US"/>
        </w:rPr>
        <w:t xml:space="preserve"> in the processes of coating and modification of surface properties in many areas of industry and science, including electronics, mechanical engineering, and optics. </w:t>
      </w:r>
      <w:r>
        <w:rPr>
          <w:lang w:val="en-US"/>
        </w:rPr>
        <w:t>Among</w:t>
      </w:r>
      <w:r w:rsidRPr="0036332F">
        <w:rPr>
          <w:lang w:val="en-US"/>
        </w:rPr>
        <w:t xml:space="preserve"> the </w:t>
      </w:r>
      <w:r>
        <w:rPr>
          <w:lang w:val="en-US"/>
        </w:rPr>
        <w:t>most</w:t>
      </w:r>
      <w:r w:rsidRPr="0036332F">
        <w:rPr>
          <w:lang w:val="en-US"/>
        </w:rPr>
        <w:t xml:space="preserve"> </w:t>
      </w:r>
      <w:r>
        <w:rPr>
          <w:lang w:val="en-US"/>
        </w:rPr>
        <w:t xml:space="preserve">versatile </w:t>
      </w:r>
      <w:r w:rsidRPr="0036332F">
        <w:rPr>
          <w:lang w:val="en-US"/>
        </w:rPr>
        <w:t xml:space="preserve">devices for the implementation of </w:t>
      </w:r>
      <w:proofErr w:type="gramStart"/>
      <w:r w:rsidRPr="0036332F">
        <w:rPr>
          <w:lang w:val="en-US"/>
        </w:rPr>
        <w:t>ion-plasma</w:t>
      </w:r>
      <w:proofErr w:type="gramEnd"/>
      <w:r w:rsidRPr="0036332F">
        <w:rPr>
          <w:lang w:val="en-US"/>
        </w:rPr>
        <w:t xml:space="preserve"> technologies are ion sources of various types</w:t>
      </w:r>
      <w:r w:rsidR="00C2329C">
        <w:rPr>
          <w:lang w:val="en-US"/>
        </w:rPr>
        <w:t>, e.g. anode layer sources [</w:t>
      </w:r>
      <w:r w:rsidR="00667477">
        <w:rPr>
          <w:lang w:val="en-US"/>
        </w:rPr>
        <w:t>1, 2</w:t>
      </w:r>
      <w:r w:rsidR="00C2329C">
        <w:rPr>
          <w:lang w:val="en-US"/>
        </w:rPr>
        <w:t>]</w:t>
      </w:r>
      <w:r w:rsidRPr="0036332F">
        <w:rPr>
          <w:lang w:val="en-US"/>
        </w:rPr>
        <w:t xml:space="preserve">. The main parameters of such sources are the energy and mass distributions of ions in the </w:t>
      </w:r>
      <w:r>
        <w:rPr>
          <w:lang w:val="en-US"/>
        </w:rPr>
        <w:t>generated beam. In</w:t>
      </w:r>
      <w:r w:rsidRPr="0036332F">
        <w:rPr>
          <w:lang w:val="en-US"/>
        </w:rPr>
        <w:t xml:space="preserve"> most applications</w:t>
      </w:r>
      <w:r>
        <w:rPr>
          <w:lang w:val="en-US"/>
        </w:rPr>
        <w:t xml:space="preserve">, </w:t>
      </w:r>
      <w:r w:rsidRPr="0036332F">
        <w:rPr>
          <w:lang w:val="en-US"/>
        </w:rPr>
        <w:t>a narrow energy</w:t>
      </w:r>
      <w:r>
        <w:rPr>
          <w:lang w:val="en-US"/>
        </w:rPr>
        <w:t xml:space="preserve"> spectrum of the beam is preferable, and a </w:t>
      </w:r>
      <w:r w:rsidRPr="0036332F">
        <w:rPr>
          <w:lang w:val="en-US"/>
        </w:rPr>
        <w:t xml:space="preserve">well-defined ion </w:t>
      </w:r>
      <w:r>
        <w:rPr>
          <w:lang w:val="en-US"/>
        </w:rPr>
        <w:t xml:space="preserve">mass composition is necessary. </w:t>
      </w:r>
    </w:p>
    <w:p w14:paraId="416A150A" w14:textId="77777777" w:rsidR="0036332F" w:rsidRPr="0036332F" w:rsidRDefault="0036332F" w:rsidP="0036332F">
      <w:pPr>
        <w:pStyle w:val="Default"/>
        <w:jc w:val="both"/>
        <w:rPr>
          <w:lang w:val="en-US"/>
        </w:rPr>
      </w:pPr>
    </w:p>
    <w:p w14:paraId="115FA252" w14:textId="4BD2EB64" w:rsidR="00C2329C" w:rsidRDefault="0036332F" w:rsidP="0036332F">
      <w:pPr>
        <w:pStyle w:val="Default"/>
        <w:jc w:val="both"/>
        <w:rPr>
          <w:lang w:val="en"/>
        </w:rPr>
      </w:pPr>
      <w:r w:rsidRPr="0036332F">
        <w:rPr>
          <w:lang w:val="en-US"/>
        </w:rPr>
        <w:t xml:space="preserve">To </w:t>
      </w:r>
      <w:r>
        <w:rPr>
          <w:lang w:val="en-US"/>
        </w:rPr>
        <w:t>characterize</w:t>
      </w:r>
      <w:r w:rsidRPr="0036332F">
        <w:rPr>
          <w:lang w:val="en-US"/>
        </w:rPr>
        <w:t xml:space="preserve"> a</w:t>
      </w:r>
      <w:r>
        <w:rPr>
          <w:lang w:val="en-US"/>
        </w:rPr>
        <w:t xml:space="preserve"> custom </w:t>
      </w:r>
      <w:proofErr w:type="gramStart"/>
      <w:r>
        <w:rPr>
          <w:lang w:val="en-US"/>
        </w:rPr>
        <w:t>anode layer ion source</w:t>
      </w:r>
      <w:proofErr w:type="gramEnd"/>
      <w:r>
        <w:rPr>
          <w:lang w:val="en-US"/>
        </w:rPr>
        <w:t>, we used a combination of separate mass-analyzer (MA) and energy-analyzer (EA)</w:t>
      </w:r>
      <w:r w:rsidRPr="0036332F">
        <w:rPr>
          <w:lang w:val="en-US"/>
        </w:rPr>
        <w:t>.</w:t>
      </w:r>
      <w:r>
        <w:rPr>
          <w:lang w:val="en-US"/>
        </w:rPr>
        <w:t xml:space="preserve"> MA was an in-house magnetic sector equipped with specially designed extraction and detection systems [</w:t>
      </w:r>
      <w:r w:rsidR="00667477">
        <w:rPr>
          <w:lang w:val="en-US"/>
        </w:rPr>
        <w:t>3</w:t>
      </w:r>
      <w:r>
        <w:rPr>
          <w:lang w:val="en-US"/>
        </w:rPr>
        <w:t xml:space="preserve">]. The energy analyzer was a retarding field </w:t>
      </w:r>
      <w:r w:rsidR="00C2329C">
        <w:rPr>
          <w:lang w:val="en-US"/>
        </w:rPr>
        <w:t xml:space="preserve">one, composed of three single-orifice diaphragms and collector. Prior to implementation, electric field distributions, ion trajectories, and instrument function of EA </w:t>
      </w:r>
      <w:proofErr w:type="gramStart"/>
      <w:r w:rsidR="00C2329C">
        <w:rPr>
          <w:lang w:val="en"/>
        </w:rPr>
        <w:t>were modeled</w:t>
      </w:r>
      <w:proofErr w:type="gramEnd"/>
      <w:r w:rsidR="00C2329C">
        <w:rPr>
          <w:lang w:val="en"/>
        </w:rPr>
        <w:t xml:space="preserve"> in COMSOL Multiphysics to</w:t>
      </w:r>
      <w:r w:rsidR="00C2329C" w:rsidRPr="00C2329C">
        <w:rPr>
          <w:lang w:val="en"/>
        </w:rPr>
        <w:t xml:space="preserve"> optimize </w:t>
      </w:r>
      <w:r w:rsidR="00C2329C">
        <w:rPr>
          <w:lang w:val="en"/>
        </w:rPr>
        <w:t>its</w:t>
      </w:r>
      <w:r w:rsidR="00C2329C" w:rsidRPr="00C2329C">
        <w:rPr>
          <w:lang w:val="en"/>
        </w:rPr>
        <w:t xml:space="preserve"> dimensions </w:t>
      </w:r>
      <w:r w:rsidR="00C2329C">
        <w:rPr>
          <w:lang w:val="en"/>
        </w:rPr>
        <w:t>and aperture sizes</w:t>
      </w:r>
      <w:r w:rsidR="00C2329C" w:rsidRPr="00C2329C">
        <w:rPr>
          <w:lang w:val="en"/>
        </w:rPr>
        <w:t>. With an initial ion energy in the range from 1500 to 2500 e</w:t>
      </w:r>
      <w:r w:rsidR="00C2329C">
        <w:rPr>
          <w:lang w:val="en"/>
        </w:rPr>
        <w:t>V, the width of the instrument</w:t>
      </w:r>
      <w:r w:rsidR="00C2329C" w:rsidRPr="00C2329C">
        <w:rPr>
          <w:lang w:val="en"/>
        </w:rPr>
        <w:t xml:space="preserve"> function of </w:t>
      </w:r>
      <w:r w:rsidR="00C2329C">
        <w:rPr>
          <w:lang w:val="en"/>
        </w:rPr>
        <w:t>designed</w:t>
      </w:r>
      <w:r w:rsidR="00C2329C" w:rsidRPr="00C2329C">
        <w:rPr>
          <w:lang w:val="en"/>
        </w:rPr>
        <w:t xml:space="preserve"> </w:t>
      </w:r>
      <w:r w:rsidR="00C2329C">
        <w:rPr>
          <w:lang w:val="en"/>
        </w:rPr>
        <w:t>EA</w:t>
      </w:r>
      <w:r w:rsidR="00C2329C" w:rsidRPr="00C2329C">
        <w:rPr>
          <w:lang w:val="en"/>
        </w:rPr>
        <w:t xml:space="preserve"> remains less than 10</w:t>
      </w:r>
      <w:r w:rsidR="00C2329C">
        <w:rPr>
          <w:lang w:val="en"/>
        </w:rPr>
        <w:t> eV, which we consider suitable.</w:t>
      </w:r>
    </w:p>
    <w:p w14:paraId="2D4DFD16" w14:textId="77777777" w:rsidR="00C2329C" w:rsidRDefault="00C2329C" w:rsidP="0036332F">
      <w:pPr>
        <w:pStyle w:val="Default"/>
        <w:jc w:val="both"/>
        <w:rPr>
          <w:lang w:val="en"/>
        </w:rPr>
      </w:pPr>
    </w:p>
    <w:p w14:paraId="00A50968" w14:textId="550E6892" w:rsidR="00C2329C" w:rsidRDefault="00C2329C" w:rsidP="0036332F">
      <w:pPr>
        <w:pStyle w:val="Default"/>
        <w:jc w:val="both"/>
        <w:rPr>
          <w:lang w:val="en"/>
        </w:rPr>
      </w:pPr>
      <w:proofErr w:type="gramStart"/>
      <w:r>
        <w:rPr>
          <w:lang w:val="en"/>
        </w:rPr>
        <w:t>The mass and energy spectra of ion beam were measured by both instruments</w:t>
      </w:r>
      <w:proofErr w:type="gramEnd"/>
      <w:r>
        <w:rPr>
          <w:lang w:val="en"/>
        </w:rPr>
        <w:t xml:space="preserve">. The experiments revealed presence of three groups of extracted argon ions: low-energy background plasma ions, ions with initial energy of ~ 100 eV, and the ions accelerated in the ion source, with peak energy corresponding roughly to half of the discharge voltage (~ 600–700 eV). The origin of ions groups and the energy spectra </w:t>
      </w:r>
      <w:proofErr w:type="gramStart"/>
      <w:r>
        <w:rPr>
          <w:lang w:val="en"/>
        </w:rPr>
        <w:t>are discussed</w:t>
      </w:r>
      <w:proofErr w:type="gramEnd"/>
      <w:r>
        <w:rPr>
          <w:lang w:val="en"/>
        </w:rPr>
        <w:t xml:space="preserve"> in detail.</w:t>
      </w:r>
    </w:p>
    <w:p w14:paraId="35F69C76" w14:textId="77777777" w:rsidR="00C2329C" w:rsidRDefault="00C2329C" w:rsidP="0036332F">
      <w:pPr>
        <w:pStyle w:val="Default"/>
        <w:jc w:val="both"/>
        <w:rPr>
          <w:lang w:val="en"/>
        </w:rPr>
      </w:pPr>
    </w:p>
    <w:p w14:paraId="45E5844B" w14:textId="75FD82AD" w:rsidR="00103DC2" w:rsidRDefault="00103DC2" w:rsidP="00103DC2">
      <w:pPr>
        <w:pStyle w:val="Default"/>
        <w:jc w:val="both"/>
        <w:rPr>
          <w:lang w:val="en-US"/>
        </w:rPr>
      </w:pPr>
      <w:r>
        <w:rPr>
          <w:lang w:val="en-US"/>
        </w:rPr>
        <w:t>References</w:t>
      </w:r>
    </w:p>
    <w:p w14:paraId="198B19A4" w14:textId="3DA6852F" w:rsidR="00103DC2" w:rsidRDefault="00667477" w:rsidP="00667477">
      <w:pPr>
        <w:pStyle w:val="Default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667477">
        <w:rPr>
          <w:lang w:val="en-US"/>
        </w:rPr>
        <w:t xml:space="preserve">V. </w:t>
      </w:r>
      <w:proofErr w:type="spellStart"/>
      <w:r w:rsidRPr="00667477">
        <w:rPr>
          <w:lang w:val="en-US"/>
        </w:rPr>
        <w:t>Dudnikov</w:t>
      </w:r>
      <w:proofErr w:type="spellEnd"/>
      <w:r w:rsidRPr="00667477">
        <w:rPr>
          <w:lang w:val="en-US"/>
        </w:rPr>
        <w:t xml:space="preserve"> and A. </w:t>
      </w:r>
      <w:proofErr w:type="spellStart"/>
      <w:r w:rsidRPr="00667477">
        <w:rPr>
          <w:lang w:val="en-US"/>
        </w:rPr>
        <w:t>Westner</w:t>
      </w:r>
      <w:proofErr w:type="spellEnd"/>
      <w:r>
        <w:rPr>
          <w:lang w:val="en-US"/>
        </w:rPr>
        <w:t xml:space="preserve">, </w:t>
      </w:r>
      <w:r w:rsidRPr="00667477">
        <w:rPr>
          <w:lang w:val="en-US"/>
        </w:rPr>
        <w:t>Rev</w:t>
      </w:r>
      <w:r>
        <w:rPr>
          <w:lang w:val="en-US"/>
        </w:rPr>
        <w:t xml:space="preserve">. </w:t>
      </w:r>
      <w:r w:rsidRPr="00667477">
        <w:rPr>
          <w:lang w:val="en-US"/>
        </w:rPr>
        <w:t>Sci</w:t>
      </w:r>
      <w:r>
        <w:rPr>
          <w:lang w:val="en-US"/>
        </w:rPr>
        <w:t>.</w:t>
      </w:r>
      <w:r w:rsidRPr="00667477">
        <w:rPr>
          <w:lang w:val="en-US"/>
        </w:rPr>
        <w:t xml:space="preserve"> </w:t>
      </w:r>
      <w:proofErr w:type="spellStart"/>
      <w:r w:rsidRPr="00667477">
        <w:rPr>
          <w:lang w:val="en-US"/>
        </w:rPr>
        <w:t>Instrum</w:t>
      </w:r>
      <w:proofErr w:type="spellEnd"/>
      <w:r>
        <w:rPr>
          <w:lang w:val="en-US"/>
        </w:rPr>
        <w:t>.</w:t>
      </w:r>
      <w:r w:rsidRPr="00667477">
        <w:rPr>
          <w:lang w:val="en-US"/>
        </w:rPr>
        <w:t xml:space="preserve"> </w:t>
      </w:r>
      <w:r w:rsidRPr="00667477">
        <w:rPr>
          <w:b/>
          <w:bCs/>
          <w:lang w:val="en-US"/>
        </w:rPr>
        <w:t>73</w:t>
      </w:r>
      <w:r w:rsidRPr="00667477">
        <w:rPr>
          <w:lang w:val="en-US"/>
        </w:rPr>
        <w:t>, 729 (2002)</w:t>
      </w:r>
    </w:p>
    <w:p w14:paraId="385021FC" w14:textId="1FA271D3" w:rsidR="00667477" w:rsidRDefault="00667477" w:rsidP="00667477">
      <w:pPr>
        <w:pStyle w:val="Default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667477">
        <w:rPr>
          <w:lang w:val="en-US"/>
        </w:rPr>
        <w:t>A</w:t>
      </w:r>
      <w:r>
        <w:rPr>
          <w:lang w:val="en-US"/>
        </w:rPr>
        <w:t>.</w:t>
      </w:r>
      <w:r w:rsidRPr="00667477">
        <w:rPr>
          <w:lang w:val="en-US"/>
        </w:rPr>
        <w:t xml:space="preserve"> Ide-</w:t>
      </w:r>
      <w:proofErr w:type="spellStart"/>
      <w:r w:rsidRPr="00667477">
        <w:rPr>
          <w:lang w:val="en-US"/>
        </w:rPr>
        <w:t>Ektessabi</w:t>
      </w:r>
      <w:proofErr w:type="spellEnd"/>
      <w:r>
        <w:rPr>
          <w:lang w:val="en-US"/>
        </w:rPr>
        <w:t xml:space="preserve">, et al., </w:t>
      </w:r>
      <w:r w:rsidRPr="00667477">
        <w:rPr>
          <w:lang w:val="en-US"/>
        </w:rPr>
        <w:t>Rev</w:t>
      </w:r>
      <w:r>
        <w:rPr>
          <w:lang w:val="en-US"/>
        </w:rPr>
        <w:t xml:space="preserve">. </w:t>
      </w:r>
      <w:r w:rsidRPr="00667477">
        <w:rPr>
          <w:lang w:val="en-US"/>
        </w:rPr>
        <w:t>Sci</w:t>
      </w:r>
      <w:r>
        <w:rPr>
          <w:lang w:val="en-US"/>
        </w:rPr>
        <w:t>.</w:t>
      </w:r>
      <w:r w:rsidRPr="00667477">
        <w:rPr>
          <w:lang w:val="en-US"/>
        </w:rPr>
        <w:t xml:space="preserve"> </w:t>
      </w:r>
      <w:proofErr w:type="spellStart"/>
      <w:r w:rsidRPr="00667477">
        <w:rPr>
          <w:lang w:val="en-US"/>
        </w:rPr>
        <w:t>Instrum</w:t>
      </w:r>
      <w:proofErr w:type="spellEnd"/>
      <w:r>
        <w:rPr>
          <w:lang w:val="en-US"/>
        </w:rPr>
        <w:t>.</w:t>
      </w:r>
      <w:r w:rsidRPr="00667477">
        <w:rPr>
          <w:lang w:val="en-US"/>
        </w:rPr>
        <w:t xml:space="preserve"> </w:t>
      </w:r>
      <w:r w:rsidRPr="00667477">
        <w:rPr>
          <w:b/>
          <w:bCs/>
          <w:lang w:val="en-US"/>
        </w:rPr>
        <w:t>73</w:t>
      </w:r>
      <w:r w:rsidRPr="00667477">
        <w:rPr>
          <w:lang w:val="en-US"/>
        </w:rPr>
        <w:t xml:space="preserve">, </w:t>
      </w:r>
      <w:r>
        <w:rPr>
          <w:lang w:val="en-US"/>
        </w:rPr>
        <w:t>873</w:t>
      </w:r>
      <w:r w:rsidRPr="00667477">
        <w:rPr>
          <w:lang w:val="en-US"/>
        </w:rPr>
        <w:t xml:space="preserve"> (2002)</w:t>
      </w:r>
    </w:p>
    <w:p w14:paraId="521EF359" w14:textId="3975E442" w:rsidR="00172F51" w:rsidRPr="00667477" w:rsidRDefault="00667477" w:rsidP="00103DC2">
      <w:pPr>
        <w:pStyle w:val="Default"/>
        <w:numPr>
          <w:ilvl w:val="0"/>
          <w:numId w:val="1"/>
        </w:numPr>
        <w:ind w:left="284" w:hanging="284"/>
        <w:jc w:val="both"/>
        <w:rPr>
          <w:lang w:val="en-US"/>
        </w:rPr>
      </w:pPr>
      <w:r w:rsidRPr="00667477">
        <w:rPr>
          <w:lang w:val="en-US"/>
        </w:rPr>
        <w:t xml:space="preserve">D.V. </w:t>
      </w:r>
      <w:proofErr w:type="spellStart"/>
      <w:r w:rsidRPr="00667477">
        <w:rPr>
          <w:lang w:val="en-US"/>
        </w:rPr>
        <w:t>Kolodko</w:t>
      </w:r>
      <w:proofErr w:type="spellEnd"/>
      <w:r w:rsidRPr="00667477">
        <w:rPr>
          <w:lang w:val="en-US"/>
        </w:rPr>
        <w:t xml:space="preserve">, et al., J. </w:t>
      </w:r>
      <w:proofErr w:type="spellStart"/>
      <w:r w:rsidRPr="00667477">
        <w:rPr>
          <w:lang w:val="en-US"/>
        </w:rPr>
        <w:t>Instrum</w:t>
      </w:r>
      <w:proofErr w:type="spellEnd"/>
      <w:r w:rsidRPr="00667477">
        <w:rPr>
          <w:lang w:val="en-US"/>
        </w:rPr>
        <w:t xml:space="preserve">. </w:t>
      </w:r>
      <w:r w:rsidRPr="00667477">
        <w:rPr>
          <w:b/>
          <w:lang w:val="en-US"/>
        </w:rPr>
        <w:t>14</w:t>
      </w:r>
      <w:r w:rsidRPr="00667477">
        <w:rPr>
          <w:lang w:val="en-US"/>
        </w:rPr>
        <w:t>, P10005 (2019)</w:t>
      </w:r>
    </w:p>
    <w:sectPr w:rsidR="00172F51" w:rsidRPr="00667477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4D6C31"/>
    <w:multiLevelType w:val="hybridMultilevel"/>
    <w:tmpl w:val="E6B40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51"/>
    <w:rsid w:val="0007701F"/>
    <w:rsid w:val="000F442F"/>
    <w:rsid w:val="00103DC2"/>
    <w:rsid w:val="00172F51"/>
    <w:rsid w:val="002613C6"/>
    <w:rsid w:val="002A0132"/>
    <w:rsid w:val="002B1B1E"/>
    <w:rsid w:val="00335298"/>
    <w:rsid w:val="0036332F"/>
    <w:rsid w:val="0047107B"/>
    <w:rsid w:val="004B6517"/>
    <w:rsid w:val="004E0655"/>
    <w:rsid w:val="00574ABC"/>
    <w:rsid w:val="005B2E78"/>
    <w:rsid w:val="00667477"/>
    <w:rsid w:val="006D3926"/>
    <w:rsid w:val="007C1473"/>
    <w:rsid w:val="008A02C6"/>
    <w:rsid w:val="008E26FD"/>
    <w:rsid w:val="00910550"/>
    <w:rsid w:val="009A3324"/>
    <w:rsid w:val="009F522B"/>
    <w:rsid w:val="00B14154"/>
    <w:rsid w:val="00B4585D"/>
    <w:rsid w:val="00C2329C"/>
    <w:rsid w:val="00C67C56"/>
    <w:rsid w:val="00DC42A2"/>
    <w:rsid w:val="00E16B73"/>
    <w:rsid w:val="00E412FD"/>
    <w:rsid w:val="00E50186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E87AF"/>
  <w15:docId w15:val="{68C279B7-483B-4DD8-B463-BBD59F88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a3">
    <w:name w:val="Balloon Text"/>
    <w:basedOn w:val="a"/>
    <w:link w:val="a4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A0132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Title of talk or poster (two lines maximum)</vt:lpstr>
      <vt:lpstr>Title of talk or poster (two lines maximum)</vt:lpstr>
      <vt:lpstr>Title of talk or poster (two lines maximum)</vt:lpstr>
    </vt:vector>
  </TitlesOfParts>
  <Company>Microsoft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AVK</cp:lastModifiedBy>
  <cp:revision>5</cp:revision>
  <dcterms:created xsi:type="dcterms:W3CDTF">2023-02-07T20:53:00Z</dcterms:created>
  <dcterms:modified xsi:type="dcterms:W3CDTF">2023-02-08T13:13:00Z</dcterms:modified>
</cp:coreProperties>
</file>