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sz w:val="28"/>
          <w:szCs w:val="28"/>
          <w:lang w:val="en-US"/>
        </w:rPr>
      </w:pPr>
      <w:r>
        <w:rPr>
          <w:b/>
          <w:bCs/>
          <w:sz w:val="28"/>
          <w:szCs w:val="28"/>
          <w:lang w:val="en-US"/>
        </w:rPr>
        <w:t>Conceptual design of the visible / near-infrared camera</w:t>
      </w:r>
    </w:p>
    <w:p>
      <w:pPr>
        <w:pStyle w:val="Default"/>
        <w:jc w:val="center"/>
        <w:rPr>
          <w:sz w:val="28"/>
          <w:szCs w:val="28"/>
          <w:lang w:val="en-US"/>
        </w:rPr>
      </w:pPr>
      <w:r>
        <w:rPr>
          <w:b/>
          <w:bCs/>
          <w:sz w:val="28"/>
          <w:szCs w:val="28"/>
          <w:lang w:val="en-US"/>
        </w:rPr>
        <w:t>system for the COMPASS Upgrade tokamak</w:t>
      </w:r>
    </w:p>
    <w:p>
      <w:pPr>
        <w:pStyle w:val="Default"/>
        <w:jc w:val="both"/>
        <w:rPr>
          <w:lang w:val="en-US"/>
        </w:rPr>
      </w:pPr>
      <w:r>
        <w:rPr>
          <w:lang w:val="en-US"/>
        </w:rPr>
      </w:r>
    </w:p>
    <w:p>
      <w:pPr>
        <w:pStyle w:val="Default"/>
        <w:jc w:val="center"/>
        <w:rPr>
          <w:lang w:val="en-US"/>
        </w:rPr>
      </w:pPr>
      <w:r>
        <w:rPr>
          <w:color w:val="000000"/>
          <w:sz w:val="24"/>
          <w:szCs w:val="24"/>
          <w:lang w:val="en-US" w:eastAsia="el-GR"/>
        </w:rPr>
        <w:t>J. Cavalier</w:t>
      </w:r>
      <w:r>
        <w:rPr>
          <w:vertAlign w:val="superscript"/>
          <w:lang w:val="en-US"/>
        </w:rPr>
        <w:t>1*</w:t>
      </w:r>
      <w:r>
        <w:rPr>
          <w:lang w:val="en-US"/>
        </w:rPr>
        <w:t xml:space="preserve">, </w:t>
      </w:r>
      <w:r>
        <w:rPr>
          <w:lang w:val="en-US"/>
        </w:rPr>
        <w:t>M. Kral</w:t>
      </w:r>
      <w:r>
        <w:rPr>
          <w:vertAlign w:val="superscript"/>
          <w:lang w:val="en-US"/>
        </w:rPr>
        <w:t>1</w:t>
      </w:r>
      <w:r>
        <w:rPr>
          <w:lang w:val="en-US"/>
        </w:rPr>
        <w:t>, V. Weinzettl</w:t>
      </w:r>
      <w:r>
        <w:rPr>
          <w:vertAlign w:val="superscript"/>
          <w:lang w:val="en-US"/>
        </w:rPr>
        <w:t>1</w:t>
      </w:r>
      <w:r>
        <w:rPr>
          <w:lang w:val="en-US"/>
        </w:rPr>
        <w:t>,  M. Tomes</w:t>
      </w:r>
      <w:r>
        <w:rPr>
          <w:vertAlign w:val="superscript"/>
          <w:lang w:val="en-US"/>
        </w:rPr>
        <w:t>1</w:t>
      </w:r>
      <w:r>
        <w:rPr>
          <w:lang w:val="en-US"/>
        </w:rPr>
        <w:t>, P. Vondracek</w:t>
      </w:r>
      <w:r>
        <w:rPr>
          <w:b w:val="false"/>
          <w:bCs w:val="false"/>
          <w:vertAlign w:val="superscript"/>
          <w:lang w:val="en-US"/>
        </w:rPr>
        <w:t>1</w:t>
      </w:r>
      <w:r>
        <w:rPr>
          <w:lang w:val="en-US"/>
        </w:rPr>
        <w:t>, P. Bilkova</w:t>
      </w:r>
      <w:r>
        <w:rPr>
          <w:vertAlign w:val="superscript"/>
          <w:lang w:val="en-US"/>
        </w:rPr>
        <w:t>1</w:t>
      </w:r>
      <w:r>
        <w:rPr>
          <w:lang w:val="en-US"/>
        </w:rPr>
        <w:t xml:space="preserve"> </w:t>
      </w:r>
    </w:p>
    <w:p>
      <w:pPr>
        <w:pStyle w:val="Default"/>
        <w:jc w:val="center"/>
        <w:rPr>
          <w:sz w:val="20"/>
          <w:szCs w:val="20"/>
        </w:rPr>
      </w:pPr>
      <w:r>
        <w:rPr>
          <w:i/>
          <w:iCs/>
          <w:sz w:val="20"/>
          <w:szCs w:val="20"/>
          <w:vertAlign w:val="superscript"/>
          <w:lang w:val="en-US"/>
        </w:rPr>
        <w:t>1</w:t>
      </w:r>
      <w:r>
        <w:rPr>
          <w:i/>
          <w:iCs/>
          <w:position w:val="0"/>
          <w:sz w:val="20"/>
          <w:sz w:val="20"/>
          <w:szCs w:val="20"/>
          <w:vertAlign w:val="baseline"/>
          <w:lang w:val="en-US"/>
        </w:rPr>
        <w:t xml:space="preserve"> </w:t>
      </w:r>
      <w:r>
        <w:rPr>
          <w:i/>
          <w:iCs/>
          <w:position w:val="0"/>
          <w:sz w:val="20"/>
          <w:sz w:val="20"/>
          <w:szCs w:val="20"/>
          <w:vertAlign w:val="baseline"/>
          <w:lang w:val="en-US"/>
        </w:rPr>
        <w:t>I</w:t>
      </w:r>
      <w:r>
        <w:rPr>
          <w:i/>
          <w:iCs/>
          <w:position w:val="0"/>
          <w:sz w:val="20"/>
          <w:sz w:val="20"/>
          <w:szCs w:val="20"/>
          <w:vertAlign w:val="baseline"/>
          <w:lang w:val="en-US"/>
        </w:rPr>
        <w:t>nstitute of Plasma Physics of the CAS, Za Slovankou 3, 182 00 Prague 8, Czech Republic</w:t>
      </w:r>
    </w:p>
    <w:p>
      <w:pPr>
        <w:pStyle w:val="Default"/>
        <w:jc w:val="center"/>
        <w:rPr/>
      </w:pPr>
      <w:r>
        <w:rPr>
          <w:i/>
          <w:iCs/>
          <w:position w:val="0"/>
          <w:sz w:val="20"/>
          <w:sz w:val="20"/>
          <w:szCs w:val="20"/>
          <w:vertAlign w:val="baseline"/>
          <w:lang w:val="en-US"/>
        </w:rPr>
        <w:t xml:space="preserve">* </w:t>
      </w:r>
      <w:r>
        <w:rPr>
          <w:i/>
          <w:iCs/>
          <w:position w:val="0"/>
          <w:sz w:val="20"/>
          <w:sz w:val="20"/>
          <w:szCs w:val="20"/>
          <w:vertAlign w:val="baseline"/>
          <w:lang w:val="en-US"/>
        </w:rPr>
        <w:t>C</w:t>
      </w:r>
      <w:r>
        <w:rPr>
          <w:i/>
          <w:iCs/>
          <w:position w:val="0"/>
          <w:sz w:val="20"/>
          <w:sz w:val="20"/>
          <w:szCs w:val="20"/>
          <w:vertAlign w:val="baseline"/>
          <w:lang w:val="en-US"/>
        </w:rPr>
        <w:t xml:space="preserve">orresponding author: </w:t>
      </w:r>
      <w:hyperlink r:id="rId3">
        <w:r>
          <w:rPr>
            <w:rStyle w:val="InternetLink"/>
            <w:i/>
            <w:iCs/>
            <w:position w:val="0"/>
            <w:sz w:val="20"/>
            <w:sz w:val="20"/>
            <w:szCs w:val="20"/>
            <w:vertAlign w:val="baseline"/>
            <w:lang w:val="en-US"/>
          </w:rPr>
          <w:t>cavalier@ipp.cas.cz</w:t>
        </w:r>
      </w:hyperlink>
    </w:p>
    <w:p>
      <w:pPr>
        <w:pStyle w:val="Default"/>
        <w:jc w:val="center"/>
        <w:rPr>
          <w:lang w:val="en-US"/>
        </w:rPr>
      </w:pPr>
      <w:r>
        <w:rPr>
          <w:lang w:val="en-US"/>
        </w:rPr>
      </w:r>
    </w:p>
    <w:p>
      <w:pPr>
        <w:pStyle w:val="Default"/>
        <w:jc w:val="both"/>
        <w:rPr>
          <w:lang w:val="en-US"/>
        </w:rPr>
      </w:pPr>
      <w:r>
        <w:rPr>
          <w:lang w:val="en-US"/>
        </w:rPr>
        <w:t>This contribution describes the visible and near-infrared (~1 μm) camera systems which are planned to observe the interaction between the plasma and the first wall in the first phase of the COMPASS Upgrade operation. The COMPASS Upgrade tokamak is a compact mid-size (R = 0.9 m) device being designed and assembled at the Institute of Plasma Physics in Prague [1]. Extensive auxiliary plasma heating power is foreseen (several megawatts of NBI and ECRH), therefore, extreme heat fluxes of order of tens MW/m 2 towards the plasma facing components are expected in 1-3 s long discharges [2]. Consequently, some of these cameras will also be used as interlocks, protecting the first wall against overheating by monitoring the material temperature.</w:t>
      </w:r>
    </w:p>
    <w:p>
      <w:pPr>
        <w:pStyle w:val="Default"/>
        <w:jc w:val="both"/>
        <w:rPr>
          <w:lang w:val="en-US"/>
        </w:rPr>
      </w:pPr>
      <w:r>
        <w:rPr/>
      </w:r>
    </w:p>
    <w:p>
      <w:pPr>
        <w:pStyle w:val="Default"/>
        <w:jc w:val="both"/>
        <w:rPr/>
      </w:pPr>
      <w:r>
        <w:rPr>
          <w:lang w:val="en-US"/>
        </w:rPr>
        <w:t>The requirements for the camera systems to be met are introduced, e.g. temperature range of the first wall to monitor, large field-of-views and spatial and tempora</w:t>
      </w:r>
      <w:r>
        <w:rPr>
          <w:lang w:val="en-US"/>
        </w:rPr>
        <w:t xml:space="preserve">l </w:t>
      </w:r>
      <w:r>
        <w:rPr>
          <w:lang w:val="en-US"/>
        </w:rPr>
        <w:t>resolutions to be reached. Issues raised with selection and technical implementation of the chosen visible and near-infrared cameras are described in detail, including optical design for visible and infrared spectral regions. Because the first (plasma facing) mirrors have to withstand high operating temperature of the first wall (up to 500</w:t>
      </w:r>
      <w:r>
        <w:rPr>
          <w:vertAlign w:val="superscript"/>
          <w:lang w:val="en-US"/>
        </w:rPr>
        <w:t>o</w:t>
      </w:r>
      <w:r>
        <w:rPr>
          <w:lang w:val="en-US"/>
        </w:rPr>
        <w:t>C), the concept is a compromise between the occupied port space (compact tokamak) and the diagnostic requirements. Pros and cons of three different considered concepts [3,4.5] will be discussed. The systems placement and their expected field-of-view and coverage will then be shown.</w:t>
      </w:r>
    </w:p>
    <w:p>
      <w:pPr>
        <w:pStyle w:val="Normal"/>
        <w:spacing w:lineRule="auto" w:line="240" w:before="0" w:after="0"/>
        <w:jc w:val="both"/>
        <w:rPr>
          <w:rFonts w:ascii="Times New Roman" w:hAnsi="Times New Roman"/>
          <w:b/>
          <w:b/>
          <w:bCs/>
          <w:sz w:val="24"/>
          <w:szCs w:val="24"/>
          <w:lang w:val="en-US"/>
        </w:rPr>
      </w:pPr>
      <w:r>
        <w:rPr>
          <w:rFonts w:ascii="Times New Roman" w:hAnsi="Times New Roman"/>
          <w:b/>
          <w:bCs/>
          <w:sz w:val="24"/>
          <w:szCs w:val="24"/>
          <w:lang w:val="en-US"/>
        </w:rPr>
      </w:r>
    </w:p>
    <w:p>
      <w:pPr>
        <w:pStyle w:val="Normal"/>
        <w:spacing w:lineRule="auto" w:line="240" w:before="0" w:after="0"/>
        <w:jc w:val="both"/>
        <w:rPr/>
      </w:pPr>
      <w:r>
        <w:rPr>
          <w:rFonts w:ascii="Times New Roman" w:hAnsi="Times New Roman"/>
          <w:b/>
          <w:i/>
          <w:color w:val="000000"/>
          <w:sz w:val="24"/>
          <w:szCs w:val="24"/>
          <w:lang w:val="en-US"/>
        </w:rPr>
        <w:t>References</w:t>
      </w:r>
    </w:p>
    <w:p>
      <w:pPr>
        <w:pStyle w:val="Normal"/>
        <w:spacing w:lineRule="auto" w:line="240" w:before="0" w:after="0"/>
        <w:jc w:val="both"/>
        <w:rPr>
          <w:b w:val="false"/>
          <w:b w:val="false"/>
          <w:bCs w:val="false"/>
          <w:i w:val="false"/>
          <w:i w:val="false"/>
          <w:iCs w:val="false"/>
        </w:rPr>
      </w:pPr>
      <w:hyperlink r:id="rId4">
        <w:r>
          <w:rPr>
            <w:rStyle w:val="InternetLink"/>
            <w:rFonts w:ascii="Times New Roman" w:hAnsi="Times New Roman"/>
            <w:b w:val="false"/>
            <w:bCs w:val="false"/>
            <w:i w:val="false"/>
            <w:iCs w:val="false"/>
            <w:color w:val="000000"/>
            <w:sz w:val="24"/>
            <w:szCs w:val="24"/>
            <w:lang w:val="en-US"/>
          </w:rPr>
          <w:t>[1]</w:t>
        </w:r>
      </w:hyperlink>
      <w:r>
        <w:rPr>
          <w:rFonts w:ascii="Times New Roman" w:hAnsi="Times New Roman"/>
          <w:b w:val="false"/>
          <w:bCs w:val="false"/>
          <w:i w:val="false"/>
          <w:iCs w:val="false"/>
          <w:color w:val="000000"/>
          <w:sz w:val="24"/>
          <w:szCs w:val="24"/>
          <w:lang w:val="en-US"/>
        </w:rPr>
        <w:t xml:space="preserve"> P. Vondracek et al. Fusion Engineering and Design 169 (2021) 112490</w:t>
      </w:r>
    </w:p>
    <w:p>
      <w:pPr>
        <w:pStyle w:val="Normal"/>
        <w:spacing w:lineRule="auto" w:line="240" w:before="0" w:after="0"/>
        <w:jc w:val="both"/>
        <w:rPr>
          <w:b w:val="false"/>
          <w:b w:val="false"/>
          <w:bCs w:val="false"/>
          <w:i w:val="false"/>
          <w:i w:val="false"/>
          <w:iCs w:val="false"/>
        </w:rPr>
      </w:pPr>
      <w:hyperlink r:id="rId5">
        <w:r>
          <w:rPr>
            <w:rStyle w:val="InternetLink"/>
            <w:rFonts w:ascii="Times New Roman" w:hAnsi="Times New Roman"/>
            <w:b w:val="false"/>
            <w:bCs w:val="false"/>
            <w:i w:val="false"/>
            <w:iCs w:val="false"/>
            <w:color w:val="000000"/>
            <w:sz w:val="24"/>
            <w:szCs w:val="24"/>
            <w:lang w:val="en-US"/>
          </w:rPr>
          <w:t>[2]</w:t>
        </w:r>
      </w:hyperlink>
      <w:r>
        <w:rPr>
          <w:rFonts w:ascii="Times New Roman" w:hAnsi="Times New Roman"/>
          <w:b w:val="false"/>
          <w:bCs w:val="false"/>
          <w:i w:val="false"/>
          <w:iCs w:val="false"/>
          <w:color w:val="000000"/>
          <w:sz w:val="24"/>
          <w:szCs w:val="24"/>
          <w:lang w:val="en-US"/>
        </w:rPr>
        <w:t xml:space="preserve"> V. Weinzettl et al. Fusion Engineering and Design 146 (2019) 1703-1707</w:t>
      </w:r>
    </w:p>
    <w:p>
      <w:pPr>
        <w:pStyle w:val="Normal"/>
        <w:spacing w:lineRule="auto" w:line="240" w:before="0" w:after="0"/>
        <w:jc w:val="both"/>
        <w:rPr>
          <w:b w:val="false"/>
          <w:b w:val="false"/>
          <w:bCs w:val="false"/>
          <w:i w:val="false"/>
          <w:i w:val="false"/>
          <w:iCs w:val="false"/>
        </w:rPr>
      </w:pPr>
      <w:hyperlink r:id="rId6">
        <w:r>
          <w:rPr>
            <w:rStyle w:val="InternetLink"/>
            <w:rFonts w:ascii="Times New Roman" w:hAnsi="Times New Roman"/>
            <w:b w:val="false"/>
            <w:bCs w:val="false"/>
            <w:i w:val="false"/>
            <w:iCs w:val="false"/>
            <w:color w:val="000000"/>
            <w:sz w:val="24"/>
            <w:szCs w:val="24"/>
            <w:lang w:val="en-US"/>
          </w:rPr>
          <w:t>[3]</w:t>
        </w:r>
      </w:hyperlink>
      <w:r>
        <w:rPr>
          <w:rFonts w:ascii="Times New Roman" w:hAnsi="Times New Roman"/>
          <w:b w:val="false"/>
          <w:bCs w:val="false"/>
          <w:i w:val="false"/>
          <w:iCs w:val="false"/>
          <w:color w:val="000000"/>
          <w:sz w:val="24"/>
          <w:szCs w:val="24"/>
          <w:lang w:val="en-US"/>
        </w:rPr>
        <w:t xml:space="preserve"> K. Kamiya et al. Fusion Eng. Des. 89 (2014) 3089–3094</w:t>
      </w:r>
    </w:p>
    <w:p>
      <w:pPr>
        <w:pStyle w:val="Normal"/>
        <w:spacing w:lineRule="auto" w:line="240" w:before="0" w:after="0"/>
        <w:jc w:val="both"/>
        <w:rPr>
          <w:b w:val="false"/>
          <w:b w:val="false"/>
          <w:bCs w:val="false"/>
          <w:i w:val="false"/>
          <w:i w:val="false"/>
          <w:iCs w:val="false"/>
        </w:rPr>
      </w:pPr>
      <w:hyperlink r:id="rId7">
        <w:r>
          <w:rPr>
            <w:rStyle w:val="InternetLink"/>
            <w:rFonts w:ascii="Times New Roman" w:hAnsi="Times New Roman"/>
            <w:b w:val="false"/>
            <w:bCs w:val="false"/>
            <w:i w:val="false"/>
            <w:iCs w:val="false"/>
            <w:color w:val="000000"/>
            <w:sz w:val="24"/>
            <w:szCs w:val="24"/>
            <w:lang w:val="en-US"/>
          </w:rPr>
          <w:t>[4]</w:t>
        </w:r>
      </w:hyperlink>
      <w:r>
        <w:rPr>
          <w:rFonts w:ascii="Times New Roman" w:hAnsi="Times New Roman"/>
          <w:b w:val="false"/>
          <w:bCs w:val="false"/>
          <w:i w:val="false"/>
          <w:iCs w:val="false"/>
          <w:color w:val="000000"/>
          <w:sz w:val="24"/>
          <w:szCs w:val="24"/>
          <w:lang w:val="en-US"/>
        </w:rPr>
        <w:t xml:space="preserve"> E. Gauthier et al. Fusion Eng. Des. 82 (2007) 1335</w:t>
      </w:r>
    </w:p>
    <w:p>
      <w:pPr>
        <w:pStyle w:val="Normal"/>
        <w:spacing w:lineRule="auto" w:line="240" w:before="0" w:after="0"/>
        <w:jc w:val="both"/>
        <w:rPr/>
      </w:pPr>
      <w:hyperlink r:id="rId8">
        <w:r>
          <w:rPr>
            <w:rStyle w:val="InternetLink"/>
            <w:rFonts w:ascii="Times New Roman" w:hAnsi="Times New Roman"/>
            <w:b w:val="false"/>
            <w:bCs w:val="false"/>
            <w:i w:val="false"/>
            <w:iCs w:val="false"/>
            <w:color w:val="000000"/>
            <w:sz w:val="24"/>
            <w:szCs w:val="24"/>
            <w:lang w:val="en-US"/>
          </w:rPr>
          <w:t>[5]</w:t>
        </w:r>
      </w:hyperlink>
      <w:r>
        <w:rPr>
          <w:rFonts w:ascii="Times New Roman" w:hAnsi="Times New Roman"/>
          <w:b w:val="false"/>
          <w:bCs w:val="false"/>
          <w:i w:val="false"/>
          <w:iCs w:val="false"/>
          <w:color w:val="000000"/>
          <w:sz w:val="24"/>
          <w:szCs w:val="24"/>
          <w:lang w:val="en-US"/>
        </w:rPr>
        <w:t xml:space="preserve"> A. Huber et al 2018 Nucl. Fusion 58 (2018) 106021 </w:t>
      </w:r>
    </w:p>
    <w:sectPr>
      <w:type w:val="nextPage"/>
      <w:pgSz w:w="11906" w:h="16838"/>
      <w:pgMar w:left="1701" w:right="1701" w:header="0" w:top="1701" w:footer="0"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2f51"/>
    <w:pPr>
      <w:widowControl/>
      <w:bidi w:val="0"/>
      <w:spacing w:lineRule="auto" w:line="276" w:before="0" w:after="200"/>
      <w:jc w:val="left"/>
    </w:pPr>
    <w:rPr>
      <w:rFonts w:ascii="Calibri" w:hAnsi="Calibri" w:eastAsia="Times New Roman" w:cs="Times New Roman"/>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qFormat/>
    <w:rsid w:val="002a0132"/>
    <w:rPr>
      <w:rFonts w:ascii="Tahoma" w:hAnsi="Tahoma" w:cs="Tahoma"/>
      <w:sz w:val="16"/>
      <w:szCs w:val="16"/>
      <w:lang w:val="el-GR" w:eastAsia="el-GR"/>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customStyle="1">
    <w:name w:val="Default"/>
    <w:qFormat/>
    <w:rsid w:val="00172f51"/>
    <w:pPr>
      <w:widowControl/>
      <w:bidi w:val="0"/>
      <w:spacing w:before="0" w:after="0"/>
      <w:jc w:val="left"/>
    </w:pPr>
    <w:rPr>
      <w:rFonts w:ascii="Times New Roman" w:hAnsi="Times New Roman" w:eastAsia="Times New Roman" w:cs="Times New Roman"/>
      <w:color w:val="000000"/>
      <w:kern w:val="0"/>
      <w:sz w:val="24"/>
      <w:szCs w:val="24"/>
      <w:lang w:val="el-GR" w:eastAsia="el-GR" w:bidi="ar-SA"/>
    </w:rPr>
  </w:style>
  <w:style w:type="paragraph" w:styleId="BalloonText">
    <w:name w:val="Balloon Text"/>
    <w:basedOn w:val="Normal"/>
    <w:link w:val="Char"/>
    <w:qFormat/>
    <w:rsid w:val="002a013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valier@ipp.cas.cz" TargetMode="External"/><Relationship Id="rId3" Type="http://schemas.openxmlformats.org/officeDocument/2006/relationships/hyperlink" Target="" TargetMode="External"/><Relationship Id="rId4" Type="http://schemas.openxmlformats.org/officeDocument/2006/relationships/hyperlink" Target="https://www.sciencedirect.com/science/article/pii/S0920379621002660?via%3Dihub" TargetMode="External"/><Relationship Id="rId5" Type="http://schemas.openxmlformats.org/officeDocument/2006/relationships/hyperlink" Target="https://www.sciencedirect.com/science/article/pii/S0920379619303412?via%3Dihub" TargetMode="External"/><Relationship Id="rId6" Type="http://schemas.openxmlformats.org/officeDocument/2006/relationships/hyperlink" Target="https://www.sciencedirect.com/science/article/pii/S0920379614005882?via%3Dihub" TargetMode="External"/><Relationship Id="rId7" Type="http://schemas.openxmlformats.org/officeDocument/2006/relationships/hyperlink" Target="https://www.sciencedirect.com/science/article/pii/S0920379607003158?via%3Dihub" TargetMode="External"/><Relationship Id="rId8" Type="http://schemas.openxmlformats.org/officeDocument/2006/relationships/hyperlink" Target="https://iopscience.iop.org/article/10.1088/1741-4326/aad481"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LibreOffice/6.4.7.2$Linux_X86_64 LibreOffice_project/40$Build-2</Application>
  <Pages>1</Pages>
  <Words>341</Words>
  <Characters>1827</Characters>
  <CharactersWithSpaces>2157</CharactersWithSpaces>
  <Paragraphs>13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2022-12-23T10:33:00Z</dcterms:created>
  <dc:creator>margaret</dc:creator>
  <dc:description/>
  <dc:language>en-US</dc:language>
  <cp:lastModifiedBy/>
  <dcterms:modified xsi:type="dcterms:W3CDTF">2023-01-31T09:24:00Z</dcterms:modified>
  <cp:revision>6</cp:revision>
  <dc:subject/>
  <dc:title>Title of talk or poster (two lines maximum)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