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Times New Roman" w:hAnsi="Times New Roman" w:cs="Times New Roman"/>
          <w:b/>
          <w:sz w:val="28"/>
          <w:szCs w:val="28"/>
        </w:rPr>
      </w:pPr>
      <w:r>
        <w:rPr>
          <w:rFonts w:hint="eastAsia" w:ascii="Times New Roman" w:hAnsi="Times New Roman" w:cs="Times New Roman"/>
          <w:b/>
          <w:sz w:val="28"/>
          <w:szCs w:val="28"/>
        </w:rPr>
        <w:t xml:space="preserve">Design of a wide-angle infrared visible viewing system using reflective optics </w:t>
      </w:r>
      <w:r>
        <w:rPr>
          <w:rFonts w:ascii="Times New Roman" w:hAnsi="Times New Roman" w:cs="Times New Roman"/>
          <w:b/>
          <w:sz w:val="28"/>
          <w:szCs w:val="28"/>
        </w:rPr>
        <w:t>on EXL-50 spherical tor</w:t>
      </w:r>
      <w:r>
        <w:rPr>
          <w:rFonts w:hint="eastAsia" w:ascii="Times New Roman" w:hAnsi="Times New Roman" w:cs="Times New Roman"/>
          <w:b/>
          <w:sz w:val="28"/>
          <w:szCs w:val="28"/>
          <w:lang w:val="en-US" w:eastAsia="zh-CN"/>
        </w:rPr>
        <w:t>u</w:t>
      </w:r>
      <w:bookmarkStart w:id="0" w:name="_GoBack"/>
      <w:bookmarkEnd w:id="0"/>
      <w:r>
        <w:rPr>
          <w:rFonts w:ascii="Times New Roman" w:hAnsi="Times New Roman" w:cs="Times New Roman"/>
          <w:b/>
          <w:sz w:val="28"/>
          <w:szCs w:val="28"/>
        </w:rPr>
        <w:t>s</w:t>
      </w:r>
    </w:p>
    <w:p>
      <w:pPr>
        <w:jc w:val="center"/>
        <w:rPr>
          <w:rFonts w:ascii="Times New Roman" w:hAnsi="Times New Roman" w:cs="Times New Roman"/>
          <w:sz w:val="24"/>
          <w:szCs w:val="24"/>
        </w:rPr>
      </w:pPr>
      <w:r>
        <w:rPr>
          <w:rFonts w:hint="eastAsia" w:ascii="Times New Roman" w:hAnsi="Times New Roman" w:cs="Times New Roman"/>
          <w:sz w:val="24"/>
          <w:szCs w:val="24"/>
        </w:rPr>
        <w:t>Dong Guo</w:t>
      </w:r>
      <w:r>
        <w:rPr>
          <w:rFonts w:ascii="Times New Roman" w:hAnsi="Times New Roman" w:cs="Times New Roman"/>
          <w:sz w:val="24"/>
          <w:szCs w:val="24"/>
          <w:vertAlign w:val="superscript"/>
        </w:rPr>
        <w:t>1,2, *</w:t>
      </w:r>
      <w:r>
        <w:rPr>
          <w:rFonts w:ascii="Times New Roman" w:hAnsi="Times New Roman" w:cs="Times New Roman"/>
          <w:sz w:val="24"/>
          <w:szCs w:val="24"/>
        </w:rPr>
        <w:t>, Qifeng Xie</w:t>
      </w:r>
      <w:r>
        <w:rPr>
          <w:rFonts w:ascii="Times New Roman" w:hAnsi="Times New Roman" w:cs="Times New Roman"/>
          <w:sz w:val="24"/>
          <w:szCs w:val="24"/>
          <w:vertAlign w:val="superscript"/>
        </w:rPr>
        <w:t>1,2</w:t>
      </w:r>
      <w:r>
        <w:rPr>
          <w:rFonts w:ascii="Times New Roman" w:hAnsi="Times New Roman" w:cs="Times New Roman"/>
          <w:sz w:val="24"/>
          <w:szCs w:val="24"/>
        </w:rPr>
        <w:t>,</w:t>
      </w:r>
      <w:r>
        <w:rPr>
          <w:rFonts w:hint="eastAsia" w:ascii="Times New Roman" w:hAnsi="Times New Roman" w:cs="Times New Roman"/>
          <w:sz w:val="24"/>
          <w:szCs w:val="24"/>
        </w:rPr>
        <w:t xml:space="preserve"> </w:t>
      </w:r>
      <w:r>
        <w:rPr>
          <w:rFonts w:ascii="Times New Roman" w:hAnsi="Times New Roman" w:cs="Times New Roman"/>
          <w:sz w:val="24"/>
          <w:szCs w:val="24"/>
        </w:rPr>
        <w:t>Xiaomin Tian</w:t>
      </w:r>
      <w:r>
        <w:rPr>
          <w:rFonts w:ascii="Times New Roman" w:hAnsi="Times New Roman" w:cs="Times New Roman"/>
          <w:sz w:val="24"/>
          <w:szCs w:val="24"/>
          <w:vertAlign w:val="superscript"/>
        </w:rPr>
        <w:t>1,2</w:t>
      </w:r>
      <w:r>
        <w:rPr>
          <w:rFonts w:ascii="Times New Roman" w:hAnsi="Times New Roman" w:cs="Times New Roman"/>
          <w:sz w:val="24"/>
          <w:szCs w:val="24"/>
        </w:rPr>
        <w:t xml:space="preserve">, </w:t>
      </w:r>
      <w:r>
        <w:rPr>
          <w:rFonts w:hint="eastAsia" w:ascii="Times New Roman" w:hAnsi="Times New Roman" w:cs="Times New Roman"/>
          <w:sz w:val="24"/>
          <w:szCs w:val="24"/>
        </w:rPr>
        <w:t>Wei Wang</w:t>
      </w:r>
      <w:r>
        <w:rPr>
          <w:rFonts w:ascii="Times New Roman" w:hAnsi="Times New Roman" w:cs="Times New Roman"/>
          <w:sz w:val="24"/>
          <w:szCs w:val="24"/>
          <w:vertAlign w:val="superscript"/>
        </w:rPr>
        <w:t>1,2</w:t>
      </w:r>
      <w:r>
        <w:rPr>
          <w:rFonts w:ascii="Times New Roman" w:hAnsi="Times New Roman" w:cs="Times New Roman"/>
          <w:sz w:val="24"/>
          <w:szCs w:val="24"/>
        </w:rPr>
        <w:t xml:space="preserve">, </w:t>
      </w:r>
      <w:r>
        <w:rPr>
          <w:rFonts w:hint="eastAsia" w:ascii="Times New Roman" w:hAnsi="Times New Roman" w:cs="Times New Roman"/>
          <w:sz w:val="24"/>
          <w:szCs w:val="24"/>
        </w:rPr>
        <w:t xml:space="preserve">Xiaofei Yang </w:t>
      </w:r>
      <w:r>
        <w:rPr>
          <w:rFonts w:hint="eastAsia" w:ascii="Times New Roman" w:hAnsi="Times New Roman" w:cs="Times New Roman"/>
          <w:sz w:val="24"/>
          <w:szCs w:val="24"/>
          <w:vertAlign w:val="superscript"/>
        </w:rPr>
        <w:t>3</w:t>
      </w:r>
      <w:r>
        <w:rPr>
          <w:rFonts w:ascii="Times New Roman" w:hAnsi="Times New Roman" w:cs="Times New Roman"/>
          <w:sz w:val="24"/>
          <w:szCs w:val="24"/>
        </w:rPr>
        <w:t>, Minsheng Liu</w:t>
      </w:r>
      <w:r>
        <w:rPr>
          <w:rFonts w:ascii="Times New Roman" w:hAnsi="Times New Roman" w:cs="Times New Roman"/>
          <w:sz w:val="24"/>
          <w:szCs w:val="24"/>
          <w:vertAlign w:val="superscript"/>
        </w:rPr>
        <w:t>1,2</w:t>
      </w:r>
      <w:r>
        <w:rPr>
          <w:rFonts w:ascii="Times New Roman" w:hAnsi="Times New Roman" w:cs="Times New Roman"/>
          <w:sz w:val="24"/>
          <w:szCs w:val="24"/>
        </w:rPr>
        <w:t>, and EXL-50 team</w:t>
      </w:r>
    </w:p>
    <w:p>
      <w:pPr>
        <w:widowControl/>
        <w:jc w:val="center"/>
        <w:rPr>
          <w:rStyle w:val="9"/>
          <w:rFonts w:ascii="Times New Roman" w:hAnsi="Times New Roman" w:cs="Times New Roman"/>
          <w:sz w:val="22"/>
          <w:szCs w:val="22"/>
        </w:rPr>
      </w:pPr>
      <w:r>
        <w:rPr>
          <w:rFonts w:ascii="Times New Roman" w:hAnsi="Times New Roman" w:cs="Times New Roman"/>
          <w:sz w:val="22"/>
          <w:vertAlign w:val="superscript"/>
        </w:rPr>
        <w:t>1</w:t>
      </w:r>
      <w:r>
        <w:rPr>
          <w:rStyle w:val="8"/>
          <w:rFonts w:ascii="Times New Roman" w:hAnsi="Times New Roman" w:cs="Times New Roman"/>
          <w:sz w:val="22"/>
          <w:szCs w:val="22"/>
        </w:rPr>
        <w:t xml:space="preserve"> </w:t>
      </w:r>
      <w:r>
        <w:rPr>
          <w:rStyle w:val="9"/>
          <w:rFonts w:ascii="Times New Roman" w:hAnsi="Times New Roman" w:cs="Times New Roman"/>
          <w:sz w:val="22"/>
          <w:szCs w:val="22"/>
        </w:rPr>
        <w:t>Hebei Key Laboratory of Compact Fusion, Langfang 065001, China</w:t>
      </w:r>
    </w:p>
    <w:p>
      <w:pPr>
        <w:jc w:val="center"/>
        <w:rPr>
          <w:rStyle w:val="9"/>
          <w:rFonts w:ascii="Times New Roman" w:hAnsi="Times New Roman" w:cs="Times New Roman"/>
          <w:sz w:val="22"/>
          <w:szCs w:val="22"/>
        </w:rPr>
      </w:pPr>
      <w:r>
        <w:rPr>
          <w:rStyle w:val="8"/>
          <w:rFonts w:ascii="Times New Roman" w:hAnsi="Times New Roman" w:cs="Times New Roman"/>
          <w:sz w:val="22"/>
          <w:szCs w:val="22"/>
          <w:vertAlign w:val="superscript"/>
        </w:rPr>
        <w:t>2</w:t>
      </w:r>
      <w:r>
        <w:rPr>
          <w:rStyle w:val="8"/>
          <w:rFonts w:ascii="Times New Roman" w:hAnsi="Times New Roman" w:cs="Times New Roman"/>
          <w:sz w:val="22"/>
          <w:szCs w:val="22"/>
        </w:rPr>
        <w:t xml:space="preserve"> </w:t>
      </w:r>
      <w:r>
        <w:rPr>
          <w:rStyle w:val="9"/>
          <w:rFonts w:ascii="Times New Roman" w:hAnsi="Times New Roman" w:cs="Times New Roman"/>
          <w:sz w:val="22"/>
          <w:szCs w:val="22"/>
        </w:rPr>
        <w:t>ENN Science and Technology Development Co., Ltd., Langfang 065001, China</w:t>
      </w:r>
    </w:p>
    <w:p>
      <w:pPr>
        <w:jc w:val="center"/>
        <w:rPr>
          <w:rStyle w:val="9"/>
          <w:rFonts w:ascii="Times New Roman" w:hAnsi="Times New Roman" w:cs="Times New Roman"/>
          <w:sz w:val="22"/>
          <w:szCs w:val="22"/>
        </w:rPr>
      </w:pPr>
      <w:r>
        <w:rPr>
          <w:rStyle w:val="8"/>
          <w:rFonts w:hint="eastAsia" w:ascii="Times New Roman" w:hAnsi="Times New Roman" w:cs="Times New Roman"/>
          <w:sz w:val="22"/>
          <w:szCs w:val="22"/>
          <w:vertAlign w:val="superscript"/>
        </w:rPr>
        <w:t>3</w:t>
      </w:r>
      <w:r>
        <w:rPr>
          <w:rStyle w:val="8"/>
          <w:rFonts w:ascii="Times New Roman" w:hAnsi="Times New Roman" w:cs="Times New Roman"/>
          <w:sz w:val="22"/>
          <w:szCs w:val="22"/>
        </w:rPr>
        <w:t xml:space="preserve"> </w:t>
      </w:r>
      <w:r>
        <w:rPr>
          <w:rStyle w:val="9"/>
          <w:rFonts w:hint="eastAsia" w:ascii="Times New Roman" w:hAnsi="Times New Roman" w:cs="Times New Roman"/>
          <w:sz w:val="22"/>
          <w:szCs w:val="22"/>
        </w:rPr>
        <w:t>Soochow University, School of Optoelectronics Science and Engineering, 215031, China</w:t>
      </w:r>
    </w:p>
    <w:p>
      <w:pPr>
        <w:jc w:val="center"/>
        <w:rPr>
          <w:rFonts w:ascii="Times New Roman" w:hAnsi="Times New Roman" w:cs="Times New Roman"/>
          <w:szCs w:val="21"/>
        </w:rPr>
      </w:pPr>
      <w:r>
        <w:rPr>
          <w:rFonts w:ascii="Times New Roman" w:hAnsi="Times New Roman" w:cs="Times New Roman"/>
          <w:szCs w:val="21"/>
        </w:rPr>
        <w:t xml:space="preserve">Email: </w:t>
      </w:r>
      <w:r>
        <w:fldChar w:fldCharType="begin"/>
      </w:r>
      <w:r>
        <w:instrText xml:space="preserve"> HYPERLINK "mailto:wangyuminb@enn.cn" </w:instrText>
      </w:r>
      <w:r>
        <w:fldChar w:fldCharType="separate"/>
      </w:r>
      <w:r>
        <w:rPr>
          <w:rStyle w:val="7"/>
          <w:rFonts w:hint="eastAsia" w:ascii="Times New Roman" w:hAnsi="Times New Roman" w:cs="Times New Roman"/>
          <w:szCs w:val="21"/>
        </w:rPr>
        <w:t>guodongd</w:t>
      </w:r>
      <w:r>
        <w:rPr>
          <w:rStyle w:val="7"/>
          <w:rFonts w:ascii="Times New Roman" w:hAnsi="Times New Roman" w:cs="Times New Roman"/>
          <w:szCs w:val="21"/>
        </w:rPr>
        <w:t>@enn.cn</w:t>
      </w:r>
      <w:r>
        <w:rPr>
          <w:rStyle w:val="7"/>
          <w:rFonts w:ascii="Times New Roman" w:hAnsi="Times New Roman" w:cs="Times New Roman"/>
          <w:szCs w:val="21"/>
        </w:rPr>
        <w:fldChar w:fldCharType="end"/>
      </w:r>
    </w:p>
    <w:p>
      <w:pPr>
        <w:rPr>
          <w:rFonts w:ascii="Times New Roman" w:hAnsi="Times New Roman" w:cs="Times New Roman"/>
          <w:szCs w:val="21"/>
        </w:rPr>
      </w:pPr>
      <w:r>
        <w:rPr>
          <w:rFonts w:ascii="Times New Roman" w:hAnsi="Times New Roman" w:cs="Times New Roman"/>
          <w:b/>
          <w:i/>
          <w:szCs w:val="21"/>
        </w:rPr>
        <w:t>Abstract.</w:t>
      </w:r>
      <w:r>
        <w:rPr>
          <w:rFonts w:ascii="Times New Roman" w:hAnsi="Times New Roman" w:cs="Times New Roman"/>
          <w:szCs w:val="21"/>
        </w:rPr>
        <w:t xml:space="preserve"> EXL-50 is a solenoid-free spherical torus with </w:t>
      </w:r>
      <w:r>
        <w:rPr>
          <w:rFonts w:hint="eastAsia" w:ascii="Times New Roman" w:hAnsi="Times New Roman" w:cs="Times New Roman"/>
          <w:szCs w:val="21"/>
        </w:rPr>
        <w:t xml:space="preserve">its </w:t>
      </w:r>
      <w:r>
        <w:rPr>
          <w:rFonts w:ascii="Times New Roman" w:hAnsi="Times New Roman" w:cs="Times New Roman"/>
          <w:szCs w:val="21"/>
        </w:rPr>
        <w:t>major and minor radius 0.58 and 0.39 m</w:t>
      </w:r>
      <w:r>
        <w:rPr>
          <w:rFonts w:hint="eastAsia" w:ascii="Times New Roman" w:hAnsi="Times New Roman" w:cs="Times New Roman"/>
          <w:szCs w:val="21"/>
        </w:rPr>
        <w:t xml:space="preserve">. A high-resolution imaging system, consisting of mid-IR and visible cameras along the same line of sight, has been </w:t>
      </w:r>
      <w:r>
        <w:rPr>
          <w:rFonts w:ascii="Times New Roman" w:hAnsi="Times New Roman" w:cs="Times New Roman"/>
          <w:szCs w:val="21"/>
        </w:rPr>
        <w:t>installed</w:t>
      </w:r>
      <w:r>
        <w:rPr>
          <w:rFonts w:hint="eastAsia" w:ascii="Times New Roman" w:hAnsi="Times New Roman" w:cs="Times New Roman"/>
          <w:szCs w:val="21"/>
        </w:rPr>
        <w:t xml:space="preserve"> for the EXL-50</w:t>
      </w:r>
      <w:r>
        <w:rPr>
          <w:rFonts w:ascii="Times New Roman" w:hAnsi="Times New Roman" w:cs="Times New Roman"/>
          <w:szCs w:val="21"/>
          <w:vertAlign w:val="superscript"/>
        </w:rPr>
        <w:t>[1-2]</w:t>
      </w:r>
      <w:r>
        <w:rPr>
          <w:rFonts w:ascii="Times New Roman" w:hAnsi="Times New Roman" w:cs="Times New Roman"/>
          <w:szCs w:val="21"/>
        </w:rPr>
        <w:t>. Th</w:t>
      </w:r>
      <w:r>
        <w:rPr>
          <w:rFonts w:hint="eastAsia" w:ascii="Times New Roman" w:hAnsi="Times New Roman" w:cs="Times New Roman"/>
          <w:szCs w:val="21"/>
        </w:rPr>
        <w:t>is</w:t>
      </w:r>
      <w:r>
        <w:rPr>
          <w:rFonts w:ascii="Times New Roman" w:hAnsi="Times New Roman" w:cs="Times New Roman"/>
          <w:szCs w:val="21"/>
        </w:rPr>
        <w:t xml:space="preserve"> diagnostic system has a wide field of view with 70°×70°, which can </w:t>
      </w:r>
      <w:r>
        <w:rPr>
          <w:rFonts w:hint="eastAsia" w:ascii="Times New Roman" w:hAnsi="Times New Roman" w:cs="Times New Roman"/>
          <w:szCs w:val="21"/>
        </w:rPr>
        <w:t>provide imaging of the entire poloidal cross-section during a shot.</w:t>
      </w:r>
      <w:r>
        <w:rPr>
          <w:rFonts w:ascii="Times New Roman" w:hAnsi="Times New Roman" w:cs="Times New Roman"/>
          <w:szCs w:val="21"/>
        </w:rPr>
        <w:t xml:space="preserve"> The visible </w:t>
      </w:r>
      <w:r>
        <w:rPr>
          <w:rFonts w:hint="eastAsia" w:ascii="Times New Roman" w:hAnsi="Times New Roman" w:cs="Times New Roman"/>
          <w:szCs w:val="21"/>
        </w:rPr>
        <w:t>camera</w:t>
      </w:r>
      <w:r>
        <w:rPr>
          <w:rFonts w:ascii="Times New Roman" w:hAnsi="Times New Roman" w:cs="Times New Roman"/>
          <w:szCs w:val="21"/>
        </w:rPr>
        <w:t xml:space="preserve"> V</w:t>
      </w:r>
      <w:r>
        <w:rPr>
          <w:rFonts w:hint="eastAsia" w:ascii="Times New Roman" w:hAnsi="Times New Roman" w:cs="Times New Roman"/>
          <w:szCs w:val="21"/>
        </w:rPr>
        <w:t>1212</w:t>
      </w:r>
      <w:r>
        <w:rPr>
          <w:rFonts w:ascii="Times New Roman" w:hAnsi="Times New Roman" w:cs="Times New Roman"/>
          <w:szCs w:val="21"/>
        </w:rPr>
        <w:t xml:space="preserve"> has a system capability of 5 mm spatial resolution at </w:t>
      </w:r>
      <w:r>
        <w:rPr>
          <w:rFonts w:hint="eastAsia" w:ascii="Times New Roman" w:hAnsi="Times New Roman" w:cs="Times New Roman"/>
          <w:szCs w:val="21"/>
        </w:rPr>
        <w:t>the</w:t>
      </w:r>
      <w:r>
        <w:rPr>
          <w:rFonts w:ascii="Times New Roman" w:hAnsi="Times New Roman" w:cs="Times New Roman"/>
          <w:szCs w:val="21"/>
        </w:rPr>
        <w:t xml:space="preserve"> ROI (region of interest) and a maximum </w:t>
      </w:r>
      <w:r>
        <w:rPr>
          <w:rFonts w:hint="eastAsia" w:ascii="Times New Roman" w:hAnsi="Times New Roman" w:cs="Times New Roman"/>
          <w:szCs w:val="21"/>
        </w:rPr>
        <w:t>10k</w:t>
      </w:r>
      <w:r>
        <w:rPr>
          <w:rFonts w:ascii="Times New Roman" w:hAnsi="Times New Roman" w:cs="Times New Roman"/>
          <w:szCs w:val="21"/>
        </w:rPr>
        <w:t>Hz full resolution frame rate. The IR camera Telops M</w:t>
      </w:r>
      <w:r>
        <w:rPr>
          <w:rFonts w:hint="eastAsia" w:ascii="Times New Roman" w:hAnsi="Times New Roman" w:cs="Times New Roman"/>
          <w:szCs w:val="21"/>
        </w:rPr>
        <w:t>120</w:t>
      </w:r>
      <w:r>
        <w:rPr>
          <w:rFonts w:ascii="Times New Roman" w:hAnsi="Times New Roman" w:cs="Times New Roman"/>
          <w:szCs w:val="21"/>
        </w:rPr>
        <w:t xml:space="preserve"> can operate between 3.5 and 5 μm waveband and up to sampling frequency of 210 Hz </w:t>
      </w:r>
      <w:r>
        <w:rPr>
          <w:rFonts w:hint="eastAsia" w:ascii="Times New Roman" w:hAnsi="Times New Roman" w:cs="Times New Roman"/>
          <w:szCs w:val="21"/>
        </w:rPr>
        <w:t>with</w:t>
      </w:r>
      <w:r>
        <w:rPr>
          <w:rFonts w:ascii="Times New Roman" w:hAnsi="Times New Roman" w:cs="Times New Roman"/>
          <w:szCs w:val="21"/>
        </w:rPr>
        <w:t xml:space="preserve"> </w:t>
      </w:r>
      <w:r>
        <w:rPr>
          <w:rFonts w:hint="eastAsia" w:ascii="Times New Roman" w:hAnsi="Times New Roman" w:cs="Times New Roman"/>
          <w:szCs w:val="21"/>
        </w:rPr>
        <w:t xml:space="preserve">a resolution of 640×480 pixels. </w:t>
      </w:r>
      <w:r>
        <w:rPr>
          <w:rFonts w:ascii="Times New Roman" w:hAnsi="Times New Roman" w:cs="Times New Roman"/>
          <w:szCs w:val="21"/>
        </w:rPr>
        <w:t xml:space="preserve">In order to improve the resolution limit of the optics in the visible range, the Cassegrain telescope design is implemented </w:t>
      </w:r>
      <w:r>
        <w:rPr>
          <w:rFonts w:hint="eastAsia" w:ascii="Times New Roman" w:hAnsi="Times New Roman" w:cs="Times New Roman"/>
          <w:szCs w:val="21"/>
        </w:rPr>
        <w:t>l</w:t>
      </w:r>
      <w:r>
        <w:rPr>
          <w:rFonts w:ascii="Times New Roman" w:hAnsi="Times New Roman" w:cs="Times New Roman"/>
          <w:szCs w:val="21"/>
        </w:rPr>
        <w:t>ike the design of JET and W7-X stellarator</w:t>
      </w:r>
      <w:r>
        <w:rPr>
          <w:rFonts w:ascii="Times New Roman" w:hAnsi="Times New Roman" w:cs="Times New Roman"/>
          <w:szCs w:val="21"/>
          <w:vertAlign w:val="superscript"/>
        </w:rPr>
        <w:t xml:space="preserve"> [3]</w:t>
      </w:r>
      <w:r>
        <w:rPr>
          <w:rFonts w:ascii="Times New Roman" w:hAnsi="Times New Roman" w:cs="Times New Roman"/>
          <w:szCs w:val="21"/>
        </w:rPr>
        <w:t xml:space="preserve">. The reflecting mirrors </w:t>
      </w:r>
      <w:r>
        <w:rPr>
          <w:rFonts w:hint="eastAsia" w:ascii="Times New Roman" w:hAnsi="Times New Roman" w:cs="Times New Roman"/>
          <w:szCs w:val="21"/>
        </w:rPr>
        <w:t>are</w:t>
      </w:r>
      <w:r>
        <w:rPr>
          <w:rFonts w:ascii="Times New Roman" w:hAnsi="Times New Roman" w:cs="Times New Roman"/>
          <w:szCs w:val="21"/>
        </w:rPr>
        <w:t xml:space="preserve"> composed of a flat mirror with a </w:t>
      </w:r>
      <w:r>
        <w:rPr>
          <w:rFonts w:hint="eastAsia" w:ascii="Times New Roman" w:hAnsi="Times New Roman" w:cs="Times New Roman"/>
          <w:szCs w:val="21"/>
        </w:rPr>
        <w:t>10</w:t>
      </w:r>
      <w:r>
        <w:rPr>
          <w:rFonts w:ascii="Times New Roman" w:hAnsi="Times New Roman" w:cs="Times New Roman"/>
          <w:szCs w:val="21"/>
        </w:rPr>
        <w:t xml:space="preserve"> mm diameter aperture and an aspherical concave mirror. After a full-band ZnS sealed lens, the back-end transmitting lenses are adapted to the different detectors for mid-IR and visible observations, with their optical light paths separated by in-air dichroic beam splitters. By comparing the IR-measured temperature with those from the thermocouples which were installed beneath the surface of divertor target tiles during vacuum vessel baking, the key parameters of IR thermography have been calibrated. At the forefront of the optical path, a modified mechanical iris shutter with </w:t>
      </w:r>
      <w:r>
        <w:rPr>
          <w:rFonts w:hint="eastAsia" w:ascii="Times New Roman" w:hAnsi="Times New Roman" w:cs="Times New Roman"/>
          <w:szCs w:val="21"/>
        </w:rPr>
        <w:t>18</w:t>
      </w:r>
      <w:r>
        <w:rPr>
          <w:rFonts w:ascii="Times New Roman" w:hAnsi="Times New Roman" w:cs="Times New Roman"/>
          <w:szCs w:val="21"/>
        </w:rPr>
        <w:t xml:space="preserve"> </w:t>
      </w:r>
      <w:r>
        <w:rPr>
          <w:rFonts w:hint="eastAsia" w:ascii="Times New Roman" w:hAnsi="Times New Roman" w:cs="Times New Roman"/>
          <w:szCs w:val="21"/>
        </w:rPr>
        <w:t>blades</w:t>
      </w:r>
      <w:r>
        <w:rPr>
          <w:rFonts w:ascii="Times New Roman" w:hAnsi="Times New Roman" w:cs="Times New Roman"/>
          <w:szCs w:val="21"/>
        </w:rPr>
        <w:t xml:space="preserve"> is installed in the vacuum chamber. It not only has excellent space utilization but also can withstand up </w:t>
      </w:r>
      <w:r>
        <w:rPr>
          <w:rFonts w:hint="eastAsia" w:ascii="Times New Roman" w:hAnsi="Times New Roman" w:cs="Times New Roman"/>
          <w:szCs w:val="21"/>
        </w:rPr>
        <w:t>to</w:t>
      </w:r>
      <w:r>
        <w:rPr>
          <w:rFonts w:ascii="Times New Roman" w:hAnsi="Times New Roman" w:cs="Times New Roman"/>
          <w:szCs w:val="21"/>
        </w:rPr>
        <w:t xml:space="preserve"> 200</w:t>
      </w:r>
      <w:r>
        <w:rPr>
          <w:rFonts w:hint="eastAsia" w:ascii="Times New Roman" w:hAnsi="Times New Roman" w:cs="Times New Roman"/>
          <w:szCs w:val="21"/>
        </w:rPr>
        <w:t xml:space="preserve">℃ </w:t>
      </w:r>
      <w:r>
        <w:rPr>
          <w:rFonts w:ascii="Times New Roman" w:hAnsi="Times New Roman" w:cs="Times New Roman"/>
          <w:szCs w:val="21"/>
        </w:rPr>
        <w:t>high temperature baking</w:t>
      </w:r>
      <w:r>
        <w:rPr>
          <w:rFonts w:hint="eastAsia" w:ascii="Times New Roman" w:hAnsi="Times New Roman" w:cs="Times New Roman"/>
          <w:szCs w:val="21"/>
        </w:rPr>
        <w:t>.</w:t>
      </w:r>
    </w:p>
    <w:p>
      <w:pPr>
        <w:rPr>
          <w:rFonts w:ascii="Times New Roman" w:hAnsi="Times New Roman" w:cs="Times New Roman"/>
          <w:szCs w:val="21"/>
        </w:rPr>
      </w:pPr>
    </w:p>
    <w:p>
      <w:pPr>
        <w:rPr>
          <w:rFonts w:hint="eastAsia" w:ascii="Times New Roman" w:hAnsi="Times New Roman" w:cs="Times New Roman"/>
          <w:szCs w:val="21"/>
        </w:rPr>
      </w:pPr>
      <w:r>
        <w:rPr>
          <w:rFonts w:hint="eastAsia" w:ascii="Times New Roman" w:hAnsi="Times New Roman" w:cs="Times New Roman"/>
          <w:b/>
          <w:bCs/>
          <w:szCs w:val="21"/>
        </w:rPr>
        <w:t>Key</w:t>
      </w:r>
      <w:r>
        <w:rPr>
          <w:rFonts w:ascii="Times New Roman" w:hAnsi="Times New Roman" w:cs="Times New Roman"/>
          <w:b/>
          <w:bCs/>
          <w:szCs w:val="21"/>
        </w:rPr>
        <w:t xml:space="preserve"> words:</w:t>
      </w:r>
      <w:r>
        <w:t xml:space="preserve"> </w:t>
      </w:r>
      <w:r>
        <w:rPr>
          <w:rFonts w:ascii="Times New Roman" w:hAnsi="Times New Roman" w:cs="Times New Roman"/>
          <w:szCs w:val="21"/>
        </w:rPr>
        <w:t>wide-angle, infrared visible, viewing system, iris shutter</w:t>
      </w:r>
    </w:p>
    <w:p>
      <w:pPr>
        <w:rPr>
          <w:rFonts w:ascii="Times New Roman" w:hAnsi="Times New Roman" w:cs="Times New Roman"/>
          <w:b/>
          <w:bCs/>
          <w:szCs w:val="21"/>
        </w:rPr>
      </w:pPr>
      <w:r>
        <w:rPr>
          <w:rFonts w:ascii="Times New Roman" w:hAnsi="Times New Roman" w:cs="Times New Roman"/>
          <w:b/>
          <w:bCs/>
          <w:szCs w:val="21"/>
        </w:rPr>
        <w:t>Reference:</w:t>
      </w:r>
    </w:p>
    <w:p>
      <w:pPr>
        <w:pStyle w:val="4"/>
        <w:wordWrap w:val="0"/>
        <w:spacing w:before="0" w:beforeAutospacing="0" w:after="0" w:afterAutospacing="0"/>
        <w:jc w:val="both"/>
        <w:rPr>
          <w:rFonts w:ascii="Times New Roman" w:hAnsi="Times New Roman" w:cs="Times New Roman"/>
          <w:color w:val="222222"/>
          <w:sz w:val="21"/>
          <w:szCs w:val="21"/>
        </w:rPr>
      </w:pPr>
      <w:r>
        <w:rPr>
          <w:rFonts w:ascii="Times New Roman" w:hAnsi="Times New Roman" w:cs="Times New Roman"/>
          <w:sz w:val="21"/>
          <w:szCs w:val="21"/>
        </w:rPr>
        <w:t xml:space="preserve">[1] </w:t>
      </w:r>
      <w:r>
        <w:rPr>
          <w:rFonts w:ascii="Times New Roman" w:hAnsi="Times New Roman" w:cs="Times New Roman"/>
          <w:color w:val="222222"/>
          <w:sz w:val="21"/>
          <w:szCs w:val="21"/>
        </w:rPr>
        <w:t>Guo D, et al. (2022)</w:t>
      </w:r>
      <w:r>
        <w:rPr>
          <w:rFonts w:hint="eastAsia" w:ascii="Times New Roman" w:hAnsi="Times New Roman" w:cs="Times New Roman"/>
          <w:color w:val="222222"/>
          <w:sz w:val="21"/>
          <w:szCs w:val="21"/>
        </w:rPr>
        <w:t>,</w:t>
      </w:r>
      <w:r>
        <w:rPr>
          <w:rFonts w:ascii="Times New Roman" w:hAnsi="Times New Roman" w:cs="Times New Roman"/>
          <w:color w:val="222222"/>
          <w:sz w:val="21"/>
          <w:szCs w:val="21"/>
        </w:rPr>
        <w:t xml:space="preserve"> Plasma Phys. Control. Fusion, 64, 055009</w:t>
      </w:r>
    </w:p>
    <w:p>
      <w:pPr>
        <w:pStyle w:val="4"/>
        <w:wordWrap w:val="0"/>
        <w:spacing w:before="0" w:beforeAutospacing="0" w:after="0" w:afterAutospacing="0"/>
        <w:jc w:val="both"/>
        <w:rPr>
          <w:rFonts w:ascii="Times New Roman" w:hAnsi="Times New Roman" w:cs="Times New Roman"/>
          <w:color w:val="222222"/>
          <w:sz w:val="21"/>
          <w:szCs w:val="21"/>
        </w:rPr>
      </w:pPr>
      <w:r>
        <w:rPr>
          <w:rFonts w:ascii="Times New Roman" w:hAnsi="Times New Roman" w:cs="Times New Roman"/>
          <w:color w:val="222222"/>
          <w:sz w:val="21"/>
          <w:szCs w:val="21"/>
        </w:rPr>
        <w:t>[2] Shi, Y, et al. (2022), Nuclear Fusion 62(8): 086047.</w:t>
      </w:r>
    </w:p>
    <w:p>
      <w:pPr>
        <w:pStyle w:val="4"/>
        <w:wordWrap w:val="0"/>
        <w:spacing w:before="0" w:beforeAutospacing="0" w:after="0" w:afterAutospacing="0"/>
        <w:jc w:val="both"/>
        <w:rPr>
          <w:rFonts w:ascii="Times New Roman" w:hAnsi="Times New Roman" w:cs="Times New Roman"/>
          <w:color w:val="222222"/>
          <w:sz w:val="21"/>
          <w:szCs w:val="21"/>
        </w:rPr>
      </w:pPr>
      <w:r>
        <w:rPr>
          <w:rFonts w:ascii="Times New Roman" w:hAnsi="Times New Roman" w:cs="Times New Roman"/>
          <w:color w:val="222222"/>
          <w:sz w:val="21"/>
          <w:szCs w:val="21"/>
        </w:rPr>
        <w:t>[3] Gauthier E, et al (2007), Fusion Engineering and Design, 82(5-14):1335-1340.</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Gulliver">
    <w:altName w:val="Times New Roman"/>
    <w:panose1 w:val="00000000000000000000"/>
    <w:charset w:val="00"/>
    <w:family w:val="roman"/>
    <w:pitch w:val="default"/>
    <w:sig w:usb0="00000000" w:usb1="00000000" w:usb2="00000000" w:usb3="00000000" w:csb0="00000000" w:csb1="00000000"/>
  </w:font>
  <w:font w:name="Gulliver-Italic">
    <w:altName w:val="Times New Roman"/>
    <w:panose1 w:val="00000000000000000000"/>
    <w:charset w:val="00"/>
    <w:family w:val="roman"/>
    <w:pitch w:val="default"/>
    <w:sig w:usb0="00000000" w:usb1="00000000" w:usb2="00000000" w:usb3="00000000" w:csb0="0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2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46DE4C0D"/>
    <w:rsid w:val="0006588C"/>
    <w:rsid w:val="00073BEE"/>
    <w:rsid w:val="000A168C"/>
    <w:rsid w:val="000D760A"/>
    <w:rsid w:val="00182F0C"/>
    <w:rsid w:val="001B01CC"/>
    <w:rsid w:val="001C4A04"/>
    <w:rsid w:val="001D5CE0"/>
    <w:rsid w:val="00273D04"/>
    <w:rsid w:val="002F38DC"/>
    <w:rsid w:val="002F674F"/>
    <w:rsid w:val="003110CE"/>
    <w:rsid w:val="00312210"/>
    <w:rsid w:val="003218E9"/>
    <w:rsid w:val="00343AEA"/>
    <w:rsid w:val="00351ACB"/>
    <w:rsid w:val="00366AA9"/>
    <w:rsid w:val="003919CE"/>
    <w:rsid w:val="003A7AD2"/>
    <w:rsid w:val="004031D7"/>
    <w:rsid w:val="004036AA"/>
    <w:rsid w:val="00451522"/>
    <w:rsid w:val="0046159E"/>
    <w:rsid w:val="00476A5F"/>
    <w:rsid w:val="004D22F1"/>
    <w:rsid w:val="004D3DE7"/>
    <w:rsid w:val="005104AF"/>
    <w:rsid w:val="005701BA"/>
    <w:rsid w:val="005F76E9"/>
    <w:rsid w:val="006324B3"/>
    <w:rsid w:val="0068439F"/>
    <w:rsid w:val="006A38BF"/>
    <w:rsid w:val="006C0C23"/>
    <w:rsid w:val="006C0E1B"/>
    <w:rsid w:val="006D471C"/>
    <w:rsid w:val="006E5825"/>
    <w:rsid w:val="00706907"/>
    <w:rsid w:val="00706C63"/>
    <w:rsid w:val="0073385B"/>
    <w:rsid w:val="0074322C"/>
    <w:rsid w:val="007444DE"/>
    <w:rsid w:val="00754891"/>
    <w:rsid w:val="0076179A"/>
    <w:rsid w:val="00765E20"/>
    <w:rsid w:val="00804DA0"/>
    <w:rsid w:val="00826C9E"/>
    <w:rsid w:val="0085146B"/>
    <w:rsid w:val="00871E93"/>
    <w:rsid w:val="00886034"/>
    <w:rsid w:val="008A19E4"/>
    <w:rsid w:val="008A4539"/>
    <w:rsid w:val="00925760"/>
    <w:rsid w:val="009F3868"/>
    <w:rsid w:val="009F6C8B"/>
    <w:rsid w:val="00A20981"/>
    <w:rsid w:val="00A3614E"/>
    <w:rsid w:val="00A41B19"/>
    <w:rsid w:val="00A50D06"/>
    <w:rsid w:val="00A636D4"/>
    <w:rsid w:val="00A76F29"/>
    <w:rsid w:val="00A859CA"/>
    <w:rsid w:val="00AA24BD"/>
    <w:rsid w:val="00AB4EA4"/>
    <w:rsid w:val="00AF0BD6"/>
    <w:rsid w:val="00B04E6F"/>
    <w:rsid w:val="00B54438"/>
    <w:rsid w:val="00BB50D8"/>
    <w:rsid w:val="00C00312"/>
    <w:rsid w:val="00C404EA"/>
    <w:rsid w:val="00C546D3"/>
    <w:rsid w:val="00C82C37"/>
    <w:rsid w:val="00CE22BA"/>
    <w:rsid w:val="00D0708C"/>
    <w:rsid w:val="00D14914"/>
    <w:rsid w:val="00E050A5"/>
    <w:rsid w:val="00E2138B"/>
    <w:rsid w:val="00E406C4"/>
    <w:rsid w:val="00E45AA2"/>
    <w:rsid w:val="00EB2BB4"/>
    <w:rsid w:val="00EF06F8"/>
    <w:rsid w:val="00F33C99"/>
    <w:rsid w:val="00F371B4"/>
    <w:rsid w:val="00F96A14"/>
    <w:rsid w:val="00FF2071"/>
    <w:rsid w:val="12606043"/>
    <w:rsid w:val="1276072F"/>
    <w:rsid w:val="1A9355F1"/>
    <w:rsid w:val="230B6057"/>
    <w:rsid w:val="24E908A6"/>
    <w:rsid w:val="25D5775C"/>
    <w:rsid w:val="294901DB"/>
    <w:rsid w:val="2A3E6348"/>
    <w:rsid w:val="2CA12FF5"/>
    <w:rsid w:val="2D8F65E8"/>
    <w:rsid w:val="319825A4"/>
    <w:rsid w:val="39631BD3"/>
    <w:rsid w:val="3FA43796"/>
    <w:rsid w:val="45297E60"/>
    <w:rsid w:val="465C3662"/>
    <w:rsid w:val="46DE4C0D"/>
    <w:rsid w:val="481D05FF"/>
    <w:rsid w:val="49660317"/>
    <w:rsid w:val="4DF6243B"/>
    <w:rsid w:val="59801A0A"/>
    <w:rsid w:val="5FDD68CF"/>
    <w:rsid w:val="60EF12CB"/>
    <w:rsid w:val="61AE3C7E"/>
    <w:rsid w:val="662E5D30"/>
    <w:rsid w:val="6B2312C8"/>
    <w:rsid w:val="710F0EA1"/>
    <w:rsid w:val="742F524A"/>
    <w:rsid w:val="75D94337"/>
    <w:rsid w:val="7BBE3CA7"/>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Layout w:type="fixed"/>
      <w:tblCellMar>
        <w:top w:w="0" w:type="dxa"/>
        <w:left w:w="108" w:type="dxa"/>
        <w:bottom w:w="0" w:type="dxa"/>
        <w:right w:w="108" w:type="dxa"/>
      </w:tblCellMar>
    </w:tblPr>
  </w:style>
  <w:style w:type="paragraph" w:styleId="2">
    <w:name w:val="footer"/>
    <w:basedOn w:val="1"/>
    <w:link w:val="11"/>
    <w:qFormat/>
    <w:uiPriority w:val="0"/>
    <w:pPr>
      <w:tabs>
        <w:tab w:val="center" w:pos="4153"/>
        <w:tab w:val="right" w:pos="8306"/>
      </w:tabs>
      <w:snapToGrid w:val="0"/>
      <w:jc w:val="left"/>
    </w:pPr>
    <w:rPr>
      <w:sz w:val="18"/>
      <w:szCs w:val="18"/>
    </w:rPr>
  </w:style>
  <w:style w:type="paragraph" w:styleId="3">
    <w:name w:val="header"/>
    <w:basedOn w:val="1"/>
    <w:link w:val="10"/>
    <w:qFormat/>
    <w:uiPriority w:val="0"/>
    <w:pPr>
      <w:pBdr>
        <w:bottom w:val="single" w:color="auto" w:sz="6" w:space="1"/>
      </w:pBdr>
      <w:tabs>
        <w:tab w:val="center" w:pos="4153"/>
        <w:tab w:val="right" w:pos="8306"/>
      </w:tabs>
      <w:snapToGrid w:val="0"/>
      <w:jc w:val="center"/>
    </w:pPr>
    <w:rPr>
      <w:sz w:val="18"/>
      <w:szCs w:val="18"/>
    </w:rPr>
  </w:style>
  <w:style w:type="paragraph" w:styleId="4">
    <w:name w:val="Normal (Web)"/>
    <w:basedOn w:val="1"/>
    <w:unhideWhenUsed/>
    <w:uiPriority w:val="99"/>
    <w:pPr>
      <w:widowControl/>
      <w:spacing w:before="100" w:beforeAutospacing="1" w:after="100" w:afterAutospacing="1"/>
      <w:jc w:val="left"/>
    </w:pPr>
    <w:rPr>
      <w:rFonts w:ascii="宋体" w:hAnsi="宋体" w:eastAsia="宋体" w:cs="宋体"/>
      <w:kern w:val="0"/>
      <w:sz w:val="24"/>
      <w:szCs w:val="24"/>
    </w:rPr>
  </w:style>
  <w:style w:type="character" w:styleId="7">
    <w:name w:val="Hyperlink"/>
    <w:basedOn w:val="6"/>
    <w:unhideWhenUsed/>
    <w:uiPriority w:val="99"/>
    <w:rPr>
      <w:color w:val="0563C1" w:themeColor="hyperlink"/>
      <w:u w:val="single"/>
      <w14:textFill>
        <w14:solidFill>
          <w14:schemeClr w14:val="hlink"/>
        </w14:solidFill>
      </w14:textFill>
    </w:rPr>
  </w:style>
  <w:style w:type="character" w:customStyle="1" w:styleId="8">
    <w:name w:val="fontstyle01"/>
    <w:basedOn w:val="6"/>
    <w:uiPriority w:val="0"/>
    <w:rPr>
      <w:rFonts w:hint="default" w:ascii="Gulliver" w:hAnsi="Gulliver"/>
      <w:color w:val="000000"/>
      <w:sz w:val="10"/>
      <w:szCs w:val="10"/>
    </w:rPr>
  </w:style>
  <w:style w:type="character" w:customStyle="1" w:styleId="9">
    <w:name w:val="fontstyle21"/>
    <w:basedOn w:val="6"/>
    <w:uiPriority w:val="0"/>
    <w:rPr>
      <w:rFonts w:hint="default" w:ascii="Gulliver-Italic" w:hAnsi="Gulliver-Italic"/>
      <w:i/>
      <w:iCs/>
      <w:color w:val="000000"/>
      <w:sz w:val="14"/>
      <w:szCs w:val="14"/>
    </w:rPr>
  </w:style>
  <w:style w:type="character" w:customStyle="1" w:styleId="10">
    <w:name w:val="页眉 字符"/>
    <w:basedOn w:val="6"/>
    <w:link w:val="3"/>
    <w:uiPriority w:val="0"/>
    <w:rPr>
      <w:kern w:val="2"/>
      <w:sz w:val="18"/>
      <w:szCs w:val="18"/>
    </w:rPr>
  </w:style>
  <w:style w:type="character" w:customStyle="1" w:styleId="11">
    <w:name w:val="页脚 字符"/>
    <w:basedOn w:val="6"/>
    <w:link w:val="2"/>
    <w:uiPriority w:val="0"/>
    <w:rPr>
      <w:kern w:val="2"/>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1</Pages>
  <Words>365</Words>
  <Characters>2081</Characters>
  <Lines>17</Lines>
  <Paragraphs>4</Paragraphs>
  <TotalTime>0</TotalTime>
  <ScaleCrop>false</ScaleCrop>
  <LinksUpToDate>false</LinksUpToDate>
  <CharactersWithSpaces>2442</CharactersWithSpaces>
  <Application>WPS Office_11.1.0.9021_F1E327BC-269C-435d-A152-05C5408002CA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2023-01-31T22:17:00Z</dcterms:created>
  <dc:creator>Administrator</dc:creator>
  <cp:lastModifiedBy>Administrator</cp:lastModifiedBy>
  <dcterms:modified xsi:type="dcterms:W3CDTF">2023-01-31T13:25:02Z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2052-11.1.0.9021</vt:lpwstr>
  </property>
</Properties>
</file>