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center"/>
        <w:rPr>
          <w:rFonts w:ascii="LM Roman 12" w:hAnsi="LM Roman 12"/>
        </w:rPr>
      </w:pPr>
      <w:r>
        <w:rPr>
          <w:rFonts w:ascii="LM Roman 12" w:hAnsi="LM Roman 12"/>
          <w:b/>
          <w:bCs/>
          <w:sz w:val="28"/>
          <w:szCs w:val="28"/>
          <w:lang w:val="en-GB"/>
        </w:rPr>
        <w:t>First Measurements with an Imaging Neutral Particle Analyzer in the ASDEX Upgrade tokamak</w:t>
      </w:r>
    </w:p>
    <w:p>
      <w:pPr>
        <w:pStyle w:val="Default"/>
        <w:jc w:val="both"/>
        <w:rPr>
          <w:rFonts w:ascii="LM Roman 12" w:hAnsi="LM Roman 12"/>
          <w:lang w:val="en-GB"/>
        </w:rPr>
      </w:pPr>
      <w:r>
        <w:rPr>
          <w:rFonts w:ascii="LM Roman 12" w:hAnsi="LM Roman 12"/>
          <w:lang w:val="en-GB"/>
        </w:rPr>
      </w:r>
    </w:p>
    <w:p>
      <w:pPr>
        <w:pStyle w:val="Default"/>
        <w:bidi w:val="0"/>
        <w:jc w:val="center"/>
        <w:rPr>
          <w:rFonts w:ascii="LM Roman 12" w:hAnsi="LM Roman 12"/>
        </w:rPr>
      </w:pPr>
      <w:r>
        <w:rPr>
          <w:rFonts w:ascii="LM Roman 12" w:hAnsi="LM Roman 12"/>
          <w:lang w:val="es-ES_tradnl"/>
        </w:rPr>
        <w:t>J. Rueda-Rueda</w:t>
      </w:r>
      <w:r>
        <w:rPr>
          <w:rFonts w:ascii="LM Roman 12" w:hAnsi="LM Roman 12"/>
          <w:vertAlign w:val="superscript"/>
          <w:lang w:val="es-ES_tradnl"/>
        </w:rPr>
        <w:t>1</w:t>
      </w:r>
      <w:r>
        <w:rPr>
          <w:rFonts w:ascii="LM Roman 12" w:hAnsi="LM Roman 12"/>
          <w:lang w:val="es-ES_tradnl"/>
        </w:rPr>
        <w:t>, M. García-Muñoz</w:t>
      </w:r>
      <w:r>
        <w:rPr>
          <w:rFonts w:ascii="LM Roman 12" w:hAnsi="LM Roman 12"/>
          <w:vertAlign w:val="superscript"/>
          <w:lang w:val="es-ES_tradnl"/>
        </w:rPr>
        <w:t>1</w:t>
      </w:r>
      <w:r>
        <w:rPr>
          <w:rFonts w:ascii="LM Roman 12" w:hAnsi="LM Roman 12"/>
          <w:lang w:val="es-ES_tradnl"/>
        </w:rPr>
        <w:t>, E. Viezzer</w:t>
      </w:r>
      <w:r>
        <w:rPr>
          <w:rFonts w:ascii="LM Roman 12" w:hAnsi="LM Roman 12"/>
          <w:vertAlign w:val="superscript"/>
          <w:lang w:val="es-ES_tradnl"/>
        </w:rPr>
        <w:t>1</w:t>
      </w:r>
      <w:r>
        <w:rPr>
          <w:rFonts w:ascii="LM Roman 12" w:hAnsi="LM Roman 12"/>
          <w:lang w:val="es-ES_tradnl"/>
        </w:rPr>
        <w:t>, P. A. Schneider</w:t>
      </w:r>
      <w:r>
        <w:rPr>
          <w:rFonts w:ascii="LM Roman 12" w:hAnsi="LM Roman 12"/>
          <w:vertAlign w:val="superscript"/>
          <w:lang w:val="es-ES_tradnl"/>
        </w:rPr>
        <w:t>2</w:t>
      </w:r>
      <w:r>
        <w:rPr>
          <w:rFonts w:ascii="LM Roman 12" w:hAnsi="LM Roman 12"/>
          <w:lang w:val="es-ES_tradnl"/>
        </w:rPr>
        <w:t>, J. García-Domínguez</w:t>
      </w:r>
      <w:r>
        <w:rPr>
          <w:rFonts w:ascii="LM Roman 12" w:hAnsi="LM Roman 12"/>
          <w:vertAlign w:val="superscript"/>
          <w:lang w:val="es-ES_tradnl"/>
        </w:rPr>
        <w:t>1</w:t>
      </w:r>
      <w:r>
        <w:rPr>
          <w:rFonts w:ascii="LM Roman 12" w:hAnsi="LM Roman 12"/>
          <w:lang w:val="es-ES_tradnl"/>
        </w:rPr>
        <w:t>, P. Oyola</w:t>
      </w:r>
      <w:r>
        <w:rPr>
          <w:rFonts w:ascii="LM Roman 12" w:hAnsi="LM Roman 12"/>
          <w:vertAlign w:val="superscript"/>
          <w:lang w:val="es-ES_tradnl"/>
        </w:rPr>
        <w:t>1</w:t>
      </w:r>
      <w:r>
        <w:rPr>
          <w:rFonts w:ascii="LM Roman 12" w:hAnsi="LM Roman 12"/>
          <w:lang w:val="es-ES_tradnl"/>
        </w:rPr>
        <w:t>, J.Galdón-Quiroga</w:t>
      </w:r>
      <w:r>
        <w:rPr>
          <w:rFonts w:ascii="LM Roman 12" w:hAnsi="LM Roman 12"/>
          <w:vertAlign w:val="superscript"/>
          <w:lang w:val="es-ES_tradnl"/>
        </w:rPr>
        <w:t>1</w:t>
      </w:r>
      <w:r>
        <w:rPr>
          <w:rFonts w:ascii="LM Roman 12" w:hAnsi="LM Roman 12"/>
          <w:lang w:val="es-ES_tradnl"/>
        </w:rPr>
        <w:t>, M. Videla</w:t>
      </w:r>
      <w:r>
        <w:rPr>
          <w:rFonts w:ascii="LM Roman 12" w:hAnsi="LM Roman 12"/>
          <w:vertAlign w:val="superscript"/>
          <w:lang w:val="es-ES_tradnl"/>
        </w:rPr>
        <w:t>3</w:t>
      </w:r>
      <w:r>
        <w:rPr>
          <w:rFonts w:ascii="LM Roman 12" w:hAnsi="LM Roman 12"/>
          <w:lang w:val="es-ES_tradnl"/>
        </w:rPr>
        <w:t>, A. Herrmann</w:t>
      </w:r>
      <w:r>
        <w:rPr>
          <w:rFonts w:ascii="LM Roman 12" w:hAnsi="LM Roman 12"/>
          <w:vertAlign w:val="superscript"/>
          <w:lang w:val="es-ES_tradnl"/>
        </w:rPr>
        <w:t>1</w:t>
      </w:r>
      <w:r>
        <w:rPr>
          <w:rFonts w:ascii="LM Roman 12" w:hAnsi="LM Roman 12"/>
          <w:lang w:val="es-ES_tradnl"/>
        </w:rPr>
        <w:t>, X. Du</w:t>
      </w:r>
      <w:r>
        <w:rPr>
          <w:rFonts w:ascii="LM Roman 12" w:hAnsi="LM Roman 12"/>
          <w:vertAlign w:val="superscript"/>
          <w:lang w:val="es-ES_tradnl"/>
        </w:rPr>
        <w:t>4</w:t>
      </w:r>
      <w:r>
        <w:rPr>
          <w:rFonts w:ascii="LM Roman 12" w:hAnsi="LM Roman 12"/>
          <w:lang w:val="es-ES_tradnl"/>
        </w:rPr>
        <w:t>, M. A. Van Zeeland</w:t>
      </w:r>
      <w:r>
        <w:rPr>
          <w:rFonts w:ascii="LM Roman 12" w:hAnsi="LM Roman 12"/>
          <w:vertAlign w:val="superscript"/>
          <w:lang w:val="es-ES_tradnl"/>
        </w:rPr>
        <w:t>4</w:t>
      </w:r>
      <w:r>
        <w:rPr>
          <w:rFonts w:ascii="LM Roman 12" w:hAnsi="LM Roman 12"/>
          <w:lang w:val="es-ES_tradnl"/>
        </w:rPr>
        <w:t>, T. Lunt</w:t>
      </w:r>
      <w:r>
        <w:rPr>
          <w:rFonts w:ascii="LM Roman 12" w:hAnsi="LM Roman 12"/>
          <w:vertAlign w:val="superscript"/>
          <w:lang w:val="es-ES_tradnl"/>
        </w:rPr>
        <w:t>2</w:t>
      </w:r>
      <w:r>
        <w:rPr>
          <w:rFonts w:ascii="LM Roman 12" w:hAnsi="LM Roman 12"/>
          <w:position w:val="0"/>
          <w:sz w:val="24"/>
          <w:sz w:val="24"/>
          <w:vertAlign w:val="baseline"/>
          <w:lang w:val="es-ES_tradnl"/>
        </w:rPr>
        <w:t>,</w:t>
      </w:r>
      <w:r>
        <w:rPr>
          <w:rFonts w:ascii="LM Roman 12" w:hAnsi="LM Roman 12"/>
          <w:lang w:val="es-ES_tradnl"/>
        </w:rPr>
        <w:t xml:space="preserve"> J. Hidalgo-Salaverri</w:t>
      </w:r>
      <w:r>
        <w:rPr>
          <w:rFonts w:ascii="LM Roman 12" w:hAnsi="LM Roman 12"/>
          <w:vertAlign w:val="superscript"/>
          <w:lang w:val="es-ES_tradnl"/>
        </w:rPr>
        <w:t>5</w:t>
      </w:r>
      <w:r>
        <w:rPr>
          <w:rFonts w:ascii="LM Roman 12" w:hAnsi="LM Roman 12"/>
          <w:lang w:val="es-ES_tradnl"/>
        </w:rPr>
        <w:t xml:space="preserve"> and the ASDEX Upgrade Team</w:t>
      </w:r>
      <w:r>
        <w:rPr>
          <w:rFonts w:ascii="LM Roman 12" w:hAnsi="LM Roman 12"/>
          <w:vertAlign w:val="superscript"/>
          <w:lang w:val="es-ES_tradnl"/>
        </w:rPr>
        <w:t>*</w:t>
      </w:r>
    </w:p>
    <w:p>
      <w:pPr>
        <w:pStyle w:val="Default"/>
        <w:bidi w:val="0"/>
        <w:jc w:val="center"/>
        <w:rPr>
          <w:rFonts w:ascii="LM Roman 12" w:hAnsi="LM Roman 12"/>
          <w:lang w:val="es-ES_tradnl"/>
        </w:rPr>
      </w:pPr>
      <w:r>
        <w:rPr>
          <w:rFonts w:ascii="LM Roman 12" w:hAnsi="LM Roman 12"/>
          <w:lang w:val="es-ES_tradnl"/>
        </w:rPr>
      </w:r>
    </w:p>
    <w:p>
      <w:pPr>
        <w:pStyle w:val="Default"/>
        <w:bidi w:val="0"/>
        <w:jc w:val="center"/>
        <w:rPr>
          <w:rFonts w:ascii="LM Roman 12" w:hAnsi="LM Roman 12"/>
          <w:sz w:val="18"/>
          <w:szCs w:val="22"/>
        </w:rPr>
      </w:pPr>
      <w:r>
        <w:rPr>
          <w:rFonts w:ascii="LM Roman 12" w:hAnsi="LM Roman 12"/>
          <w:i/>
          <w:iCs/>
          <w:sz w:val="18"/>
          <w:szCs w:val="22"/>
          <w:vertAlign w:val="superscript"/>
          <w:lang w:val="en-GB"/>
        </w:rPr>
        <w:t xml:space="preserve">1 </w:t>
      </w:r>
      <w:r>
        <w:rPr>
          <w:rFonts w:ascii="LM Roman 12" w:hAnsi="LM Roman 12"/>
          <w:i/>
          <w:iCs/>
          <w:sz w:val="18"/>
          <w:szCs w:val="22"/>
          <w:lang w:val="en-GB"/>
        </w:rPr>
        <w:t>Department of Atomic, Molecular and Nuclear Physics, University of Seville, Seville, Spain</w:t>
      </w:r>
    </w:p>
    <w:p>
      <w:pPr>
        <w:pStyle w:val="Default"/>
        <w:jc w:val="center"/>
        <w:rPr>
          <w:rFonts w:ascii="LM Roman 12" w:hAnsi="LM Roman 12"/>
          <w:sz w:val="18"/>
          <w:szCs w:val="22"/>
        </w:rPr>
      </w:pPr>
      <w:r>
        <w:rPr>
          <w:rFonts w:ascii="LM Roman 12" w:hAnsi="LM Roman 12"/>
          <w:i/>
          <w:iCs/>
          <w:sz w:val="18"/>
          <w:szCs w:val="22"/>
          <w:vertAlign w:val="superscript"/>
          <w:lang w:val="en-GB"/>
        </w:rPr>
        <w:t>2</w:t>
      </w:r>
      <w:r>
        <w:rPr>
          <w:rFonts w:ascii="LM Roman 12" w:hAnsi="LM Roman 12"/>
          <w:i/>
          <w:iCs/>
          <w:sz w:val="18"/>
          <w:szCs w:val="22"/>
          <w:lang w:val="en-GB"/>
        </w:rPr>
        <w:t xml:space="preserve"> Max-Planck-Institute for Plasma Physics, 85748 Garching, Germany</w:t>
      </w:r>
    </w:p>
    <w:p>
      <w:pPr>
        <w:pStyle w:val="Default"/>
        <w:jc w:val="center"/>
        <w:rPr>
          <w:rFonts w:ascii="LM Roman 12" w:hAnsi="LM Roman 12"/>
          <w:sz w:val="18"/>
          <w:szCs w:val="22"/>
        </w:rPr>
      </w:pPr>
      <w:r>
        <w:rPr>
          <w:rFonts w:ascii="LM Roman 12" w:hAnsi="LM Roman 12"/>
          <w:i/>
          <w:iCs/>
          <w:sz w:val="18"/>
          <w:szCs w:val="22"/>
          <w:vertAlign w:val="superscript"/>
          <w:lang w:val="en-GB"/>
        </w:rPr>
        <w:t>3</w:t>
      </w:r>
      <w:r>
        <w:rPr>
          <w:rFonts w:ascii="LM Roman 12" w:hAnsi="LM Roman 12"/>
          <w:i/>
          <w:iCs/>
          <w:sz w:val="18"/>
          <w:szCs w:val="22"/>
          <w:lang w:val="en-GB"/>
        </w:rPr>
        <w:t xml:space="preserve"> Department of Materials and Transport Science and Engineering, University of Seville, Spain</w:t>
      </w:r>
    </w:p>
    <w:p>
      <w:pPr>
        <w:pStyle w:val="Default"/>
        <w:jc w:val="center"/>
        <w:rPr>
          <w:rFonts w:ascii="LM Roman 12" w:hAnsi="LM Roman 12"/>
          <w:sz w:val="18"/>
          <w:szCs w:val="22"/>
          <w:vertAlign w:val="superscript"/>
        </w:rPr>
      </w:pPr>
      <w:r>
        <w:rPr>
          <w:rFonts w:ascii="LM Roman 12" w:hAnsi="LM Roman 12"/>
          <w:i/>
          <w:iCs/>
          <w:sz w:val="18"/>
          <w:szCs w:val="22"/>
          <w:vertAlign w:val="superscript"/>
          <w:lang w:val="en-GB"/>
        </w:rPr>
        <w:t xml:space="preserve">4 </w:t>
      </w:r>
      <w:r>
        <w:rPr>
          <w:rFonts w:ascii="LM Roman 12" w:hAnsi="LM Roman 12"/>
          <w:i/>
          <w:iCs/>
          <w:position w:val="0"/>
          <w:sz w:val="18"/>
          <w:sz w:val="18"/>
          <w:szCs w:val="22"/>
          <w:vertAlign w:val="baseline"/>
          <w:lang w:val="en-GB"/>
        </w:rPr>
        <w:t>General Atomics, P.O. Box 85608, San Diego, California 92186-5608, USA</w:t>
      </w:r>
    </w:p>
    <w:p>
      <w:pPr>
        <w:pStyle w:val="Default"/>
        <w:jc w:val="center"/>
        <w:rPr>
          <w:rFonts w:ascii="LM Roman 12" w:hAnsi="LM Roman 12"/>
          <w:sz w:val="18"/>
          <w:szCs w:val="22"/>
        </w:rPr>
      </w:pPr>
      <w:r>
        <w:rPr>
          <w:rFonts w:ascii="LM Roman 12" w:hAnsi="LM Roman 12"/>
          <w:i/>
          <w:iCs/>
          <w:sz w:val="18"/>
          <w:szCs w:val="22"/>
          <w:vertAlign w:val="superscript"/>
          <w:lang w:val="en-GB"/>
        </w:rPr>
        <w:t>5</w:t>
      </w:r>
      <w:r>
        <w:rPr>
          <w:rFonts w:ascii="LM Roman 12" w:hAnsi="LM Roman 12"/>
          <w:i/>
          <w:iCs/>
          <w:sz w:val="18"/>
          <w:szCs w:val="22"/>
          <w:lang w:val="en-GB"/>
        </w:rPr>
        <w:t xml:space="preserve"> Department of Mechanical Engineering and Manufacturing, University of Seville, Seville, Spain</w:t>
      </w:r>
    </w:p>
    <w:p>
      <w:pPr>
        <w:pStyle w:val="Default"/>
        <w:jc w:val="center"/>
        <w:rPr>
          <w:rFonts w:ascii="LM Roman 12" w:hAnsi="LM Roman 12"/>
          <w:lang w:val="en-GB"/>
        </w:rPr>
      </w:pPr>
      <w:r>
        <w:rPr>
          <w:rFonts w:ascii="LM Roman 12" w:hAnsi="LM Roman 12"/>
          <w:lang w:val="en-GB"/>
        </w:rPr>
      </w:r>
    </w:p>
    <w:p>
      <w:pPr>
        <w:pStyle w:val="TableContents"/>
        <w:spacing w:lineRule="auto" w:line="240"/>
        <w:jc w:val="both"/>
        <w:rPr>
          <w:rFonts w:ascii="LM Roman 12" w:hAnsi="LM Roman 12"/>
          <w:sz w:val="24"/>
          <w:szCs w:val="24"/>
        </w:rPr>
      </w:pPr>
      <w:r>
        <w:rPr>
          <w:rFonts w:ascii="LM Roman 12" w:hAnsi="LM Roman 12"/>
          <w:sz w:val="24"/>
          <w:szCs w:val="24"/>
        </w:rPr>
        <w:t xml:space="preserve">A new Imaging Neutral Particle Analyser (INPA) [1-2] diagnostic has been installed and commissioned at the ASDEX Upgrade (AUG) tokamak. The AUG INPA diagnostic measures fast neutrals escaping the plasma after CX reactions. The neutrals are ionised by a 20 nm carbon foil and deflected towards a scintillator by the local magnetic field. The use of a neutral beam injector (NBI) as active source of neutrals provides radially resolved measurements while the use of a scintillator as active component allows us to cover the whole plasma along the NBI line with </w:t>
      </w:r>
      <w:r>
        <w:rPr>
          <w:rFonts w:ascii="LM Roman 12" w:hAnsi="LM Roman 12"/>
          <w:i w:val="false"/>
          <w:iCs w:val="false"/>
          <w:sz w:val="24"/>
          <w:szCs w:val="24"/>
        </w:rPr>
        <w:t>good</w:t>
      </w:r>
      <w:r>
        <w:rPr>
          <w:rFonts w:ascii="LM Roman 12" w:hAnsi="LM Roman 12"/>
          <w:sz w:val="24"/>
          <w:szCs w:val="24"/>
        </w:rPr>
        <w:t xml:space="preserve"> phase-space resolution (~ 10 keV and 8 cm); making it suitable to study localized fast-ion redistribution in phase-space. The diagnostic explores pitch angles (</w:t>
      </w:r>
      <w:r>
        <w:rPr/>
      </w:r>
      <m:oMath xmlns:m="http://schemas.openxmlformats.org/officeDocument/2006/math">
        <m:r>
          <w:rPr>
            <w:rFonts w:ascii="Cambria Math" w:hAnsi="Cambria Math"/>
          </w:rPr>
          <m:t xml:space="preserve">λ</m:t>
        </m:r>
        <m:r>
          <w:rPr>
            <w:rFonts w:ascii="Cambria Math" w:hAnsi="Cambria Math"/>
          </w:rPr>
          <m:t xml:space="preserve">=</m:t>
        </m:r>
        <m:f>
          <m:fPr>
            <m:type m:val="lin"/>
          </m:fPr>
          <m:num>
            <m:sSub>
              <m:e>
                <m:r>
                  <w:rPr>
                    <w:rFonts w:ascii="Cambria Math" w:hAnsi="Cambria Math"/>
                  </w:rPr>
                  <m:t xml:space="preserve">v</m:t>
                </m:r>
              </m:e>
              <m:sub>
                <m:d>
                  <m:dPr>
                    <m:begChr m:val="|"/>
                    <m:endChr m:val="|"/>
                  </m:dPr>
                </m:d>
              </m:sub>
            </m:sSub>
          </m:num>
          <m:den>
            <m:r>
              <w:rPr>
                <w:rFonts w:ascii="Cambria Math" w:hAnsi="Cambria Math"/>
              </w:rPr>
              <m:t xml:space="preserve">v</m:t>
            </m:r>
          </m:den>
        </m:f>
      </m:oMath>
      <w:r>
        <w:rPr>
          <w:rFonts w:ascii="LM Roman 12" w:hAnsi="LM Roman 12"/>
          <w:sz w:val="24"/>
          <w:szCs w:val="24"/>
        </w:rPr>
        <w:t>) close to 0.5 at the magnetic axis and close to 0.7 at the plasma edge in the low field side.</w:t>
      </w:r>
    </w:p>
    <w:p>
      <w:pPr>
        <w:pStyle w:val="TableContents"/>
        <w:spacing w:lineRule="auto" w:line="240"/>
        <w:rPr>
          <w:rFonts w:ascii="LM Roman 12" w:hAnsi="LM Roman 12"/>
          <w:sz w:val="24"/>
          <w:szCs w:val="24"/>
        </w:rPr>
      </w:pPr>
      <w:r>
        <w:rPr>
          <w:rFonts w:ascii="LM Roman 12" w:hAnsi="LM Roman 12"/>
          <w:sz w:val="24"/>
          <w:szCs w:val="24"/>
        </w:rPr>
      </w:r>
    </w:p>
    <w:p>
      <w:pPr>
        <w:pStyle w:val="TableContents"/>
        <w:spacing w:lineRule="auto" w:line="240"/>
        <w:jc w:val="both"/>
        <w:rPr>
          <w:rFonts w:ascii="LM Roman 12" w:hAnsi="LM Roman 12"/>
          <w:sz w:val="24"/>
          <w:szCs w:val="24"/>
        </w:rPr>
      </w:pPr>
      <w:r>
        <w:rPr>
          <w:rFonts w:ascii="LM Roman 12" w:hAnsi="LM Roman 12"/>
          <w:sz w:val="24"/>
          <w:szCs w:val="24"/>
          <w:lang w:val="en-GB"/>
        </w:rPr>
        <w:t>First measurements taken in MHD-quiescent plasmas are compared with neoclassical simulations to validate the synthetic diagnostic, showing a  good agreement within errorbars. Energy and position localised redistributions of FI were found during phases with strong FI driven modes such as BAE and TAE, showing the capability of INPA to measure localized fast-ion transport.</w:t>
      </w:r>
    </w:p>
    <w:p>
      <w:pPr>
        <w:pStyle w:val="Normal"/>
        <w:spacing w:lineRule="auto" w:line="240" w:before="0" w:after="0"/>
        <w:rPr>
          <w:rFonts w:ascii="LM Roman 12" w:hAnsi="LM Roman 12"/>
          <w:lang w:val="en-GB"/>
        </w:rPr>
      </w:pPr>
      <w:r>
        <w:rPr>
          <w:rFonts w:ascii="LM Roman 12" w:hAnsi="LM Roman 12"/>
          <w:lang w:val="en-GB"/>
        </w:rPr>
      </w:r>
    </w:p>
    <w:p>
      <w:pPr>
        <w:pStyle w:val="Default"/>
        <w:jc w:val="both"/>
        <w:rPr>
          <w:rFonts w:ascii="LM Roman 12" w:hAnsi="LM Roman 12"/>
        </w:rPr>
      </w:pPr>
      <w:r>
        <w:rPr>
          <w:rFonts w:ascii="LM Roman 12" w:hAnsi="LM Roman 12"/>
          <w:sz w:val="20"/>
          <w:szCs w:val="20"/>
          <w:lang w:val="en-GB"/>
        </w:rPr>
        <w:t>*</w:t>
      </w:r>
      <w:r>
        <w:rPr>
          <w:rFonts w:ascii="LM Roman 12" w:hAnsi="LM Roman 12"/>
          <w:lang w:val="en-GB"/>
        </w:rPr>
        <w:t xml:space="preserve"> </w:t>
      </w:r>
      <w:r>
        <w:rPr>
          <w:rFonts w:ascii="LM Roman 12" w:hAnsi="LM Roman 12"/>
          <w:sz w:val="20"/>
          <w:szCs w:val="20"/>
          <w:lang w:val="en-GB"/>
        </w:rPr>
        <w:t xml:space="preserve">See author list of </w:t>
      </w:r>
      <w:r>
        <w:rPr>
          <w:rFonts w:ascii="LM Roman 12" w:hAnsi="LM Roman 12"/>
          <w:i/>
          <w:sz w:val="20"/>
          <w:szCs w:val="20"/>
          <w:lang w:val="en-GB"/>
        </w:rPr>
        <w:t xml:space="preserve">U. Stroth et al. 2022 Nucl. Fusion </w:t>
      </w:r>
      <w:r>
        <w:rPr>
          <w:rFonts w:ascii="LM Roman 12" w:hAnsi="LM Roman 12"/>
          <w:b/>
          <w:i/>
          <w:sz w:val="20"/>
          <w:szCs w:val="20"/>
          <w:lang w:val="en-GB"/>
        </w:rPr>
        <w:t>62</w:t>
      </w:r>
      <w:r>
        <w:rPr>
          <w:rFonts w:ascii="LM Roman 12" w:hAnsi="LM Roman 12"/>
          <w:i/>
          <w:sz w:val="20"/>
          <w:szCs w:val="20"/>
          <w:lang w:val="en-GB"/>
        </w:rPr>
        <w:t xml:space="preserve"> 042006</w:t>
      </w:r>
    </w:p>
    <w:p>
      <w:pPr>
        <w:pStyle w:val="Default"/>
        <w:jc w:val="both"/>
        <w:rPr>
          <w:rFonts w:ascii="LM Roman 12" w:hAnsi="LM Roman 12"/>
          <w:lang w:val="en-GB"/>
        </w:rPr>
      </w:pPr>
      <w:r>
        <w:rPr>
          <w:rFonts w:ascii="LM Roman 12" w:hAnsi="LM Roman 12"/>
          <w:lang w:val="en-GB"/>
        </w:rPr>
      </w:r>
    </w:p>
    <w:p>
      <w:pPr>
        <w:pStyle w:val="Default"/>
        <w:jc w:val="both"/>
        <w:rPr>
          <w:rFonts w:ascii="LM Roman 12" w:hAnsi="LM Roman 12"/>
        </w:rPr>
      </w:pPr>
      <w:r>
        <w:rPr>
          <w:rFonts w:ascii="LM Roman 12" w:hAnsi="LM Roman 12"/>
          <w:lang w:val="en-GB"/>
        </w:rPr>
        <w:t xml:space="preserve">[1] X.D. Du et al., Nucl. Fusion </w:t>
      </w:r>
      <w:r>
        <w:rPr>
          <w:rFonts w:ascii="LM Roman 12" w:hAnsi="LM Roman 12"/>
          <w:b/>
          <w:bCs/>
          <w:lang w:val="en-GB"/>
        </w:rPr>
        <w:t>58</w:t>
      </w:r>
      <w:r>
        <w:rPr>
          <w:rFonts w:ascii="LM Roman 12" w:hAnsi="LM Roman 12"/>
          <w:lang w:val="en-GB"/>
        </w:rPr>
        <w:t xml:space="preserve"> 082006 (2018)</w:t>
      </w:r>
    </w:p>
    <w:p>
      <w:pPr>
        <w:pStyle w:val="Default"/>
        <w:jc w:val="both"/>
        <w:rPr>
          <w:rFonts w:ascii="LM Roman 12" w:hAnsi="LM Roman 12"/>
        </w:rPr>
      </w:pPr>
      <w:r>
        <w:rPr>
          <w:rFonts w:ascii="LM Roman 12" w:hAnsi="LM Roman 12"/>
          <w:lang w:val="es-ES_tradnl"/>
        </w:rPr>
        <w:t>[2] J</w:t>
      </w:r>
      <w:r>
        <w:rPr>
          <w:rFonts w:ascii="LM Roman 12" w:hAnsi="LM Roman 12"/>
          <w:lang w:val="en-GB"/>
        </w:rPr>
        <w:t xml:space="preserve">. Rueda-Rueda et al., RSI </w:t>
      </w:r>
      <w:r>
        <w:rPr>
          <w:rFonts w:ascii="LM Roman 12" w:hAnsi="LM Roman 12"/>
          <w:b/>
          <w:bCs/>
          <w:lang w:val="en-GB"/>
        </w:rPr>
        <w:t>92</w:t>
      </w:r>
      <w:r>
        <w:rPr>
          <w:rFonts w:ascii="LM Roman 12" w:hAnsi="LM Roman 12"/>
          <w:lang w:val="en-GB"/>
        </w:rPr>
        <w:t>, 043554 (2021)</w:t>
      </w:r>
    </w:p>
    <w:p>
      <w:pPr>
        <w:pStyle w:val="Default"/>
        <w:bidi w:val="0"/>
        <w:jc w:val="both"/>
        <w:rPr>
          <w:lang w:val="en-GB"/>
        </w:rPr>
      </w:pPr>
      <w:r>
        <w:rPr/>
      </w:r>
    </w:p>
    <w:sectPr>
      <w:type w:val="nextPage"/>
      <w:pgSz w:w="11906" w:h="16838"/>
      <w:pgMar w:left="1701" w:right="1701" w:gutter="0" w:header="0" w:top="1701"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LM Roman 12">
    <w:charset w:val="01"/>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72f51"/>
    <w:pPr>
      <w:widowControl/>
      <w:suppressAutoHyphens w:val="true"/>
      <w:bidi w:val="0"/>
      <w:spacing w:lineRule="auto" w:line="276" w:before="0" w:after="200"/>
      <w:jc w:val="left"/>
    </w:pPr>
    <w:rPr>
      <w:rFonts w:ascii="Calibri" w:hAnsi="Calibri" w:eastAsia="Times New Roman" w:cs="Times New Roman"/>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qFormat/>
    <w:rsid w:val="002a0132"/>
    <w:rPr>
      <w:rFonts w:ascii="Tahoma" w:hAnsi="Tahoma" w:cs="Tahoma"/>
      <w:sz w:val="16"/>
      <w:szCs w:val="16"/>
      <w:lang w:val="el-GR" w:eastAsia="el-GR"/>
    </w:rPr>
  </w:style>
  <w:style w:type="character" w:styleId="HeaderChar" w:customStyle="1">
    <w:name w:val="Header Char"/>
    <w:basedOn w:val="DefaultParagraphFont"/>
    <w:link w:val="Header"/>
    <w:qFormat/>
    <w:rsid w:val="0020471c"/>
    <w:rPr>
      <w:rFonts w:ascii="Calibri" w:hAnsi="Calibri"/>
      <w:sz w:val="22"/>
      <w:szCs w:val="22"/>
      <w:lang w:val="el-GR" w:eastAsia="el-GR"/>
    </w:rPr>
  </w:style>
  <w:style w:type="character" w:styleId="FooterChar" w:customStyle="1">
    <w:name w:val="Footer Char"/>
    <w:basedOn w:val="DefaultParagraphFont"/>
    <w:link w:val="Footer"/>
    <w:qFormat/>
    <w:rsid w:val="0020471c"/>
    <w:rPr>
      <w:rFonts w:ascii="Calibri" w:hAnsi="Calibri"/>
      <w:sz w:val="22"/>
      <w:szCs w:val="22"/>
      <w:lang w:val="el-GR" w:eastAsia="el-GR"/>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lang w:val="zxx" w:eastAsia="zxx" w:bidi="zxx"/>
    </w:rPr>
  </w:style>
  <w:style w:type="paragraph" w:styleId="Default" w:customStyle="1">
    <w:name w:val="Default"/>
    <w:qFormat/>
    <w:rsid w:val="00172f51"/>
    <w:pPr>
      <w:widowControl/>
      <w:suppressAutoHyphens w:val="true"/>
      <w:bidi w:val="0"/>
      <w:spacing w:before="0" w:after="0"/>
      <w:jc w:val="left"/>
    </w:pPr>
    <w:rPr>
      <w:rFonts w:ascii="Times New Roman" w:hAnsi="Times New Roman" w:eastAsia="Times New Roman" w:cs="Times New Roman"/>
      <w:color w:val="000000"/>
      <w:kern w:val="0"/>
      <w:sz w:val="24"/>
      <w:szCs w:val="24"/>
      <w:lang w:val="el-GR" w:eastAsia="el-GR" w:bidi="ar-SA"/>
    </w:rPr>
  </w:style>
  <w:style w:type="paragraph" w:styleId="BalloonText">
    <w:name w:val="Balloon Text"/>
    <w:basedOn w:val="Normal"/>
    <w:link w:val="BalloonTextChar"/>
    <w:qFormat/>
    <w:rsid w:val="002a0132"/>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nhideWhenUsed/>
    <w:rsid w:val="0020471c"/>
    <w:pPr>
      <w:tabs>
        <w:tab w:val="clear" w:pos="720"/>
        <w:tab w:val="center" w:pos="4252" w:leader="none"/>
        <w:tab w:val="right" w:pos="8504" w:leader="none"/>
      </w:tabs>
      <w:spacing w:lineRule="auto" w:line="240" w:before="0" w:after="0"/>
    </w:pPr>
    <w:rPr/>
  </w:style>
  <w:style w:type="paragraph" w:styleId="Footer">
    <w:name w:val="Footer"/>
    <w:basedOn w:val="Normal"/>
    <w:link w:val="FooterChar"/>
    <w:unhideWhenUsed/>
    <w:rsid w:val="0020471c"/>
    <w:pPr>
      <w:tabs>
        <w:tab w:val="clear" w:pos="720"/>
        <w:tab w:val="center" w:pos="4252" w:leader="none"/>
        <w:tab w:val="right" w:pos="8504" w:leader="none"/>
      </w:tabs>
      <w:spacing w:lineRule="auto" w:line="240" w:before="0" w:after="0"/>
    </w:pPr>
    <w:rPr/>
  </w:style>
  <w:style w:type="paragraph" w:styleId="Revision">
    <w:name w:val="Revision"/>
    <w:uiPriority w:val="99"/>
    <w:semiHidden/>
    <w:qFormat/>
    <w:rsid w:val="00584d48"/>
    <w:pPr>
      <w:widowControl/>
      <w:suppressAutoHyphens w:val="true"/>
      <w:bidi w:val="0"/>
      <w:spacing w:before="0" w:after="0"/>
      <w:jc w:val="left"/>
    </w:pPr>
    <w:rPr>
      <w:rFonts w:ascii="Calibri" w:hAnsi="Calibri" w:eastAsia="Times New Roman" w:cs="Times New Roman"/>
      <w:color w:val="auto"/>
      <w:kern w:val="0"/>
      <w:sz w:val="22"/>
      <w:szCs w:val="22"/>
      <w:lang w:val="el-GR" w:eastAsia="el-GR" w:bidi="ar-SA"/>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Application>LibreOffice/7.3.7.2$Linux_X86_64 LibreOffice_project/30$Build-2</Application>
  <AppVersion>15.0000</AppVersion>
  <Pages>1</Pages>
  <Words>325</Words>
  <Characters>1776</Characters>
  <CharactersWithSpaces>2090</CharactersWithSpaces>
  <Paragraphs>12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2023-01-09T16:45:00Z</dcterms:created>
  <dc:creator>margaret</dc:creator>
  <dc:description/>
  <dc:language>en-US</dc:language>
  <cp:lastModifiedBy/>
  <cp:lastPrinted>2023-01-13T13:41:00Z</cp:lastPrinted>
  <dcterms:modified xsi:type="dcterms:W3CDTF">2023-01-26T16:35:52Z</dcterms:modified>
  <cp:revision>51</cp:revision>
  <dc:subject/>
  <dc:title>Title of talk or poster (two lines maximum)</dc:title>
</cp:coreProperties>
</file>

<file path=docProps/custom.xml><?xml version="1.0" encoding="utf-8"?>
<Properties xmlns="http://schemas.openxmlformats.org/officeDocument/2006/custom-properties" xmlns:vt="http://schemas.openxmlformats.org/officeDocument/2006/docPropsVTypes"/>
</file>