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590F3C29" w:rsidR="00172F51" w:rsidRPr="008A02C6" w:rsidRDefault="00B04296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</w:t>
      </w:r>
      <w:r w:rsidR="000B7AE0">
        <w:rPr>
          <w:b/>
          <w:bCs/>
          <w:sz w:val="28"/>
          <w:szCs w:val="28"/>
          <w:lang w:val="en-US"/>
        </w:rPr>
        <w:t>vesti</w:t>
      </w:r>
      <w:r>
        <w:rPr>
          <w:b/>
          <w:bCs/>
          <w:sz w:val="28"/>
          <w:szCs w:val="28"/>
          <w:lang w:val="en-US"/>
        </w:rPr>
        <w:t xml:space="preserve">gation </w:t>
      </w:r>
      <w:r w:rsidR="000B7AE0">
        <w:rPr>
          <w:b/>
          <w:bCs/>
          <w:sz w:val="28"/>
          <w:szCs w:val="28"/>
          <w:lang w:val="en-US"/>
        </w:rPr>
        <w:t>of</w:t>
      </w:r>
      <w:r w:rsidR="0011275B">
        <w:rPr>
          <w:b/>
          <w:bCs/>
          <w:sz w:val="28"/>
          <w:szCs w:val="28"/>
          <w:lang w:val="en-US"/>
        </w:rPr>
        <w:t xml:space="preserve"> inward particle flux formation in the PKU Plasma Test (PPT) device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5E7944ED" w14:textId="68122EB8" w:rsidR="00711933" w:rsidRPr="00B23CE1" w:rsidRDefault="00711933" w:rsidP="00711933">
      <w:pPr>
        <w:pStyle w:val="Default"/>
        <w:jc w:val="center"/>
      </w:pPr>
      <w:r w:rsidRPr="00F209E1">
        <w:rPr>
          <w:lang w:val="en-US"/>
        </w:rPr>
        <w:t>T</w:t>
      </w:r>
      <w:r>
        <w:rPr>
          <w:lang w:val="en-US"/>
        </w:rPr>
        <w:t>.</w:t>
      </w:r>
      <w:r w:rsidR="006101EE">
        <w:rPr>
          <w:lang w:val="en-US"/>
        </w:rPr>
        <w:t xml:space="preserve"> C.</w:t>
      </w:r>
      <w:r w:rsidRPr="00F209E1">
        <w:rPr>
          <w:lang w:val="en-US"/>
        </w:rPr>
        <w:t xml:space="preserve"> X</w:t>
      </w:r>
      <w:r>
        <w:rPr>
          <w:lang w:val="en-US"/>
        </w:rPr>
        <w:t>u</w:t>
      </w:r>
      <w:r w:rsidRPr="00F209E1">
        <w:rPr>
          <w:vertAlign w:val="superscript"/>
          <w:lang w:val="en-US"/>
        </w:rPr>
        <w:t>1</w:t>
      </w:r>
      <w:r w:rsidR="006854F8">
        <w:rPr>
          <w:vertAlign w:val="superscript"/>
          <w:lang w:val="en-US"/>
        </w:rPr>
        <w:t>,*</w:t>
      </w:r>
      <w:r w:rsidRPr="00F209E1">
        <w:rPr>
          <w:lang w:val="en-US"/>
        </w:rPr>
        <w:t>, C</w:t>
      </w:r>
      <w:r>
        <w:rPr>
          <w:lang w:val="en-US"/>
        </w:rPr>
        <w:t>.</w:t>
      </w:r>
      <w:r w:rsidR="006101EE">
        <w:rPr>
          <w:lang w:val="en-US"/>
        </w:rPr>
        <w:t xml:space="preserve"> J.</w:t>
      </w:r>
      <w:r w:rsidRPr="00F209E1">
        <w:rPr>
          <w:lang w:val="en-US"/>
        </w:rPr>
        <w:t xml:space="preserve"> X</w:t>
      </w:r>
      <w:r>
        <w:rPr>
          <w:lang w:val="en-US"/>
        </w:rPr>
        <w:t>iao</w:t>
      </w:r>
      <w:r w:rsidRPr="00F209E1">
        <w:rPr>
          <w:vertAlign w:val="superscript"/>
          <w:lang w:val="en-US"/>
        </w:rPr>
        <w:t>1</w:t>
      </w:r>
      <w:r w:rsidRPr="00F209E1">
        <w:rPr>
          <w:lang w:val="en-US"/>
        </w:rPr>
        <w:t xml:space="preserve">, </w:t>
      </w:r>
      <w:r>
        <w:rPr>
          <w:lang w:val="en-US"/>
        </w:rPr>
        <w:t>Z.</w:t>
      </w:r>
      <w:r w:rsidR="006101EE">
        <w:rPr>
          <w:lang w:val="en-US"/>
        </w:rPr>
        <w:t xml:space="preserve"> B.</w:t>
      </w:r>
      <w:r>
        <w:rPr>
          <w:lang w:val="en-US"/>
        </w:rPr>
        <w:t xml:space="preserve"> Guo</w:t>
      </w:r>
      <w:r>
        <w:rPr>
          <w:vertAlign w:val="superscript"/>
          <w:lang w:val="en-US"/>
        </w:rPr>
        <w:t>1</w:t>
      </w:r>
      <w:r w:rsidRPr="00F209E1">
        <w:rPr>
          <w:lang w:val="en-US"/>
        </w:rPr>
        <w:t>,</w:t>
      </w:r>
      <w:r w:rsidRPr="00711933">
        <w:rPr>
          <w:lang w:val="en-US"/>
        </w:rPr>
        <w:t xml:space="preserve"> </w:t>
      </w:r>
      <w:r w:rsidRPr="00F209E1">
        <w:rPr>
          <w:lang w:val="en-US"/>
        </w:rPr>
        <w:t>X</w:t>
      </w:r>
      <w:r>
        <w:rPr>
          <w:lang w:val="en-US"/>
        </w:rPr>
        <w:t>.</w:t>
      </w:r>
      <w:r w:rsidR="006101EE">
        <w:rPr>
          <w:lang w:val="en-US"/>
        </w:rPr>
        <w:t xml:space="preserve"> Y.</w:t>
      </w:r>
      <w:r w:rsidRPr="00F209E1">
        <w:rPr>
          <w:lang w:val="en-US"/>
        </w:rPr>
        <w:t xml:space="preserve"> Y</w:t>
      </w:r>
      <w:r>
        <w:rPr>
          <w:lang w:val="en-US"/>
        </w:rPr>
        <w:t>ang</w:t>
      </w:r>
      <w:r w:rsidRPr="00F209E1">
        <w:rPr>
          <w:vertAlign w:val="superscript"/>
          <w:lang w:val="en-US"/>
        </w:rPr>
        <w:t>2</w:t>
      </w:r>
      <w:r w:rsidRPr="00F209E1">
        <w:rPr>
          <w:lang w:val="en-US"/>
        </w:rPr>
        <w:t>, R</w:t>
      </w:r>
      <w:r>
        <w:rPr>
          <w:lang w:val="en-US"/>
        </w:rPr>
        <w:t>.</w:t>
      </w:r>
      <w:r w:rsidR="006101EE">
        <w:rPr>
          <w:lang w:val="en-US"/>
        </w:rPr>
        <w:t xml:space="preserve"> C.</w:t>
      </w:r>
      <w:r w:rsidRPr="00F209E1">
        <w:rPr>
          <w:lang w:val="en-US"/>
        </w:rPr>
        <w:t xml:space="preserve"> H</w:t>
      </w:r>
      <w:r>
        <w:rPr>
          <w:lang w:val="en-US"/>
        </w:rPr>
        <w:t>e</w:t>
      </w:r>
      <w:r w:rsidRPr="00F209E1">
        <w:rPr>
          <w:vertAlign w:val="superscript"/>
          <w:lang w:val="en-US"/>
        </w:rPr>
        <w:t>1</w:t>
      </w:r>
      <w:r>
        <w:rPr>
          <w:lang w:val="en-US"/>
        </w:rPr>
        <w:t>, R.</w:t>
      </w:r>
      <w:r w:rsidR="006101EE">
        <w:rPr>
          <w:lang w:val="en-US"/>
        </w:rPr>
        <w:t xml:space="preserve"> R.</w:t>
      </w:r>
      <w:r>
        <w:rPr>
          <w:lang w:val="en-US"/>
        </w:rPr>
        <w:t xml:space="preserve"> Yuan</w:t>
      </w:r>
      <w:r w:rsidRPr="00B23CE1">
        <w:rPr>
          <w:vertAlign w:val="superscript"/>
          <w:lang w:val="en-US"/>
        </w:rPr>
        <w:t>1</w:t>
      </w:r>
      <w:r>
        <w:rPr>
          <w:lang w:val="en-US"/>
        </w:rPr>
        <w:t xml:space="preserve"> ,</w:t>
      </w:r>
      <w:r w:rsidRPr="00711933">
        <w:rPr>
          <w:lang w:val="en-US"/>
        </w:rPr>
        <w:t xml:space="preserve"> </w:t>
      </w:r>
      <w:r w:rsidRPr="00F209E1">
        <w:rPr>
          <w:lang w:val="en-US"/>
        </w:rPr>
        <w:t>Z</w:t>
      </w:r>
      <w:r>
        <w:rPr>
          <w:lang w:val="en-US"/>
        </w:rPr>
        <w:t>.</w:t>
      </w:r>
      <w:r w:rsidR="006101EE">
        <w:rPr>
          <w:lang w:val="en-US"/>
        </w:rPr>
        <w:t xml:space="preserve"> Y.</w:t>
      </w:r>
      <w:r w:rsidRPr="00F209E1">
        <w:rPr>
          <w:lang w:val="en-US"/>
        </w:rPr>
        <w:t xml:space="preserve"> Zhang</w:t>
      </w:r>
      <w:r w:rsidRPr="00F209E1">
        <w:rPr>
          <w:vertAlign w:val="superscript"/>
          <w:lang w:val="en-US"/>
        </w:rPr>
        <w:t>1</w:t>
      </w:r>
      <w:r w:rsidRPr="00F209E1">
        <w:rPr>
          <w:lang w:val="en-US"/>
        </w:rPr>
        <w:t>,</w:t>
      </w:r>
      <w:r w:rsidR="00490669">
        <w:rPr>
          <w:lang w:val="en-US"/>
        </w:rPr>
        <w:t xml:space="preserve"> X. G. Wang</w:t>
      </w:r>
      <w:r w:rsidR="00490669" w:rsidRPr="00F209E1">
        <w:rPr>
          <w:vertAlign w:val="superscript"/>
          <w:lang w:val="en-US"/>
        </w:rPr>
        <w:t>2</w:t>
      </w:r>
      <w:bookmarkStart w:id="0" w:name="_GoBack"/>
      <w:bookmarkEnd w:id="0"/>
      <w:r w:rsidRPr="00F209E1">
        <w:rPr>
          <w:lang w:val="en-US"/>
        </w:rPr>
        <w:t xml:space="preserve"> </w:t>
      </w:r>
    </w:p>
    <w:p w14:paraId="6D5624E4" w14:textId="77777777" w:rsidR="00711933" w:rsidRPr="00B00A4B" w:rsidRDefault="00711933" w:rsidP="0071193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Pr="00F14A90">
        <w:rPr>
          <w:i/>
          <w:iCs/>
          <w:sz w:val="22"/>
          <w:szCs w:val="22"/>
          <w:lang w:val="en-US"/>
        </w:rPr>
        <w:t>State Key Laboratory of Nuclear Physics and Technology, School of Physics, Peking University, Beijing 100871, China</w:t>
      </w:r>
    </w:p>
    <w:p w14:paraId="1CD23524" w14:textId="59EF8AEE" w:rsidR="00711933" w:rsidRDefault="00711933" w:rsidP="0071193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Pr="00B23CE1">
        <w:rPr>
          <w:i/>
          <w:iCs/>
          <w:sz w:val="22"/>
          <w:szCs w:val="22"/>
          <w:lang w:val="en-US"/>
        </w:rPr>
        <w:t>Harbin Institute of Technology, Harbin 150001, China</w:t>
      </w:r>
    </w:p>
    <w:p w14:paraId="55B1B7E8" w14:textId="77777777" w:rsidR="006854F8" w:rsidRPr="00B00A4B" w:rsidRDefault="006854F8" w:rsidP="00711933">
      <w:pPr>
        <w:pStyle w:val="Default"/>
        <w:jc w:val="center"/>
        <w:rPr>
          <w:sz w:val="22"/>
          <w:szCs w:val="22"/>
          <w:lang w:val="en-US"/>
        </w:rPr>
      </w:pPr>
    </w:p>
    <w:p w14:paraId="3C299BA5" w14:textId="2A0C7EBE" w:rsidR="00172F51" w:rsidRPr="00464746" w:rsidRDefault="006854F8" w:rsidP="006854F8">
      <w:pPr>
        <w:pStyle w:val="Default"/>
        <w:rPr>
          <w:i/>
          <w:iCs/>
          <w:sz w:val="22"/>
          <w:szCs w:val="22"/>
          <w:lang w:val="en-US"/>
        </w:rPr>
      </w:pPr>
      <w:r w:rsidRPr="00464746">
        <w:rPr>
          <w:rFonts w:hint="eastAsia"/>
          <w:i/>
          <w:iCs/>
          <w:sz w:val="22"/>
          <w:szCs w:val="22"/>
          <w:lang w:val="en-US"/>
        </w:rPr>
        <w:t>*</w:t>
      </w:r>
      <w:r w:rsidRPr="00464746">
        <w:rPr>
          <w:i/>
          <w:iCs/>
          <w:sz w:val="22"/>
          <w:szCs w:val="22"/>
          <w:lang w:val="en-US"/>
        </w:rPr>
        <w:t>E-mail:xutianchao90@126.com</w:t>
      </w:r>
    </w:p>
    <w:p w14:paraId="3C671724" w14:textId="77777777" w:rsidR="006854F8" w:rsidRPr="00464746" w:rsidRDefault="006854F8" w:rsidP="006854F8">
      <w:pPr>
        <w:pStyle w:val="Default"/>
        <w:rPr>
          <w:rFonts w:hint="eastAsia"/>
          <w:sz w:val="22"/>
          <w:lang w:val="en-US" w:eastAsia="zh-CN"/>
        </w:rPr>
      </w:pPr>
    </w:p>
    <w:p w14:paraId="732AA234" w14:textId="6672D3E5" w:rsidR="009D532D" w:rsidRDefault="002C58D6" w:rsidP="007C1473">
      <w:pPr>
        <w:pStyle w:val="Default"/>
        <w:jc w:val="both"/>
      </w:pPr>
      <w:r w:rsidRPr="002C58D6">
        <w:t xml:space="preserve">Turbulent </w:t>
      </w:r>
      <w:r w:rsidR="00D47A01">
        <w:t xml:space="preserve">particle </w:t>
      </w:r>
      <w:r w:rsidRPr="002C58D6">
        <w:t xml:space="preserve">transport causes the loss of particle </w:t>
      </w:r>
      <w:r w:rsidR="008C2D7C">
        <w:rPr>
          <w:lang w:val="en-US"/>
        </w:rPr>
        <w:t>i</w:t>
      </w:r>
      <w:r w:rsidR="008C2D7C" w:rsidRPr="008C2D7C">
        <w:rPr>
          <w:lang w:val="en-US"/>
        </w:rPr>
        <w:t>n the magnetic confinement plasma devices</w:t>
      </w:r>
      <w:r w:rsidR="008C2D7C">
        <w:rPr>
          <w:lang w:val="en-US"/>
        </w:rPr>
        <w:t>,</w:t>
      </w:r>
      <w:r w:rsidR="008C2D7C" w:rsidRPr="002C58D6">
        <w:t xml:space="preserve"> </w:t>
      </w:r>
      <w:r w:rsidRPr="002C58D6">
        <w:t xml:space="preserve">which </w:t>
      </w:r>
      <w:r w:rsidR="00FB79E8" w:rsidRPr="00FB79E8">
        <w:t xml:space="preserve">degrades </w:t>
      </w:r>
      <w:r w:rsidRPr="002C58D6">
        <w:t xml:space="preserve"> the confinement of plasma.</w:t>
      </w:r>
      <w:r w:rsidR="007C0956" w:rsidRPr="007C0956">
        <w:t xml:space="preserve"> </w:t>
      </w:r>
      <w:r w:rsidR="0064498A">
        <w:t>The inward particle transport</w:t>
      </w:r>
      <w:r w:rsidR="0064498A">
        <w:t xml:space="preserve"> is c</w:t>
      </w:r>
      <w:r w:rsidR="0064498A" w:rsidRPr="00037A7B">
        <w:t>onducive</w:t>
      </w:r>
      <w:r w:rsidR="0064498A">
        <w:t xml:space="preserve"> to </w:t>
      </w:r>
      <w:r w:rsidR="0064498A" w:rsidRPr="00037A7B">
        <w:t>transport barrier</w:t>
      </w:r>
      <w:r w:rsidR="0064498A">
        <w:t xml:space="preserve"> formation and confinement improvement.</w:t>
      </w:r>
      <w:r w:rsidR="0064498A" w:rsidRPr="002C58D6">
        <w:t xml:space="preserve"> </w:t>
      </w:r>
      <w:r w:rsidR="008C2D7C" w:rsidRPr="008C2D7C">
        <w:rPr>
          <w:lang w:val="en-US"/>
        </w:rPr>
        <w:t>The inward particle flux</w:t>
      </w:r>
      <w:r w:rsidR="008C2D7C">
        <w:rPr>
          <w:lang w:val="en-US"/>
        </w:rPr>
        <w:t xml:space="preserve"> </w:t>
      </w:r>
      <w:r w:rsidR="008C2D7C" w:rsidRPr="008C2D7C">
        <w:rPr>
          <w:lang w:val="en-US"/>
        </w:rPr>
        <w:t>is a</w:t>
      </w:r>
      <w:r w:rsidR="008C2D7C">
        <w:rPr>
          <w:lang w:val="en-US"/>
        </w:rPr>
        <w:t xml:space="preserve">ssociated with the formation of </w:t>
      </w:r>
      <w:r w:rsidR="008C2D7C" w:rsidRPr="008C2D7C">
        <w:rPr>
          <w:lang w:val="en-US"/>
        </w:rPr>
        <w:t xml:space="preserve">peaked density profile, which </w:t>
      </w:r>
      <w:r w:rsidR="005208C2">
        <w:rPr>
          <w:lang w:val="en-US"/>
        </w:rPr>
        <w:t xml:space="preserve">could </w:t>
      </w:r>
      <w:r w:rsidR="008C2D7C" w:rsidRPr="008C2D7C">
        <w:rPr>
          <w:lang w:val="en-US"/>
        </w:rPr>
        <w:t>improve the fusion rate and</w:t>
      </w:r>
      <w:r w:rsidR="005208C2">
        <w:rPr>
          <w:lang w:val="en-US"/>
        </w:rPr>
        <w:t xml:space="preserve"> </w:t>
      </w:r>
      <w:r w:rsidR="005208C2" w:rsidRPr="008C2D7C">
        <w:rPr>
          <w:lang w:val="en-US"/>
        </w:rPr>
        <w:t>contributes to</w:t>
      </w:r>
      <w:r w:rsidR="008C2D7C" w:rsidRPr="008C2D7C">
        <w:rPr>
          <w:lang w:val="en-US"/>
        </w:rPr>
        <w:t xml:space="preserve"> the</w:t>
      </w:r>
      <w:r w:rsidR="008C2D7C">
        <w:rPr>
          <w:lang w:val="en-US"/>
        </w:rPr>
        <w:t xml:space="preserve"> </w:t>
      </w:r>
      <w:r w:rsidR="008C2D7C" w:rsidRPr="008C2D7C">
        <w:rPr>
          <w:lang w:val="en-US"/>
        </w:rPr>
        <w:t>realization of steady-state discharge.</w:t>
      </w:r>
      <w:r w:rsidRPr="002C58D6">
        <w:t xml:space="preserve"> </w:t>
      </w:r>
      <w:r w:rsidR="0064498A">
        <w:t>And</w:t>
      </w:r>
      <w:r w:rsidR="00037A7B">
        <w:t xml:space="preserve"> </w:t>
      </w:r>
      <w:r w:rsidR="00773E87">
        <w:t xml:space="preserve">understanding the </w:t>
      </w:r>
      <w:r w:rsidR="00773E87">
        <w:t xml:space="preserve">formation </w:t>
      </w:r>
      <w:r w:rsidR="00773E87">
        <w:t xml:space="preserve">mechanism of </w:t>
      </w:r>
      <w:r w:rsidR="00037A7B">
        <w:t xml:space="preserve">inward particle </w:t>
      </w:r>
      <w:r w:rsidR="00773E87">
        <w:t>flux</w:t>
      </w:r>
      <w:r w:rsidR="00037A7B">
        <w:t xml:space="preserve"> </w:t>
      </w:r>
      <w:r w:rsidR="00773E87">
        <w:t xml:space="preserve">could </w:t>
      </w:r>
      <w:r w:rsidR="00773E87">
        <w:t>achiev</w:t>
      </w:r>
      <w:r w:rsidR="00773E87">
        <w:t xml:space="preserve">e its </w:t>
      </w:r>
      <w:r w:rsidR="00773E87" w:rsidRPr="007C0956">
        <w:t>control</w:t>
      </w:r>
      <w:r w:rsidR="00773E87">
        <w:t>, which</w:t>
      </w:r>
      <w:r w:rsidR="007C0956">
        <w:t xml:space="preserve"> is helpful</w:t>
      </w:r>
      <w:r w:rsidR="00207990">
        <w:t xml:space="preserve"> to solve</w:t>
      </w:r>
      <w:r w:rsidR="00037A7B">
        <w:t xml:space="preserve"> the </w:t>
      </w:r>
      <w:r w:rsidR="007C0956">
        <w:t>challeng</w:t>
      </w:r>
      <w:r w:rsidR="0064498A">
        <w:t>e</w:t>
      </w:r>
      <w:r w:rsidR="00207990">
        <w:t xml:space="preserve"> of fusion plasma</w:t>
      </w:r>
      <w:r w:rsidR="007C0956">
        <w:t xml:space="preserve"> fuelling</w:t>
      </w:r>
      <w:r w:rsidR="00207990">
        <w:t>.</w:t>
      </w:r>
      <w:r w:rsidR="008B51BF" w:rsidRPr="008B51BF">
        <w:rPr>
          <w:lang w:val="en-US"/>
        </w:rPr>
        <w:t xml:space="preserve"> </w:t>
      </w:r>
    </w:p>
    <w:p w14:paraId="1494AEC9" w14:textId="736D45B3" w:rsidR="00790F1E" w:rsidRDefault="00D26CC1" w:rsidP="007C1473">
      <w:pPr>
        <w:pStyle w:val="Default"/>
        <w:jc w:val="both"/>
      </w:pPr>
      <w:r w:rsidRPr="00790F1E">
        <w:rPr>
          <w:rFonts w:hint="eastAsia"/>
        </w:rPr>
        <w:t xml:space="preserve">The PKU Plasma Test (PPT) device is a linear plasma device in Peking University, China. It has a vacuum chamber with </w:t>
      </w:r>
      <w:r>
        <w:t>2</w:t>
      </w:r>
      <w:r w:rsidRPr="00790F1E">
        <w:rPr>
          <w:rFonts w:hint="eastAsia"/>
        </w:rPr>
        <w:t>000mm length</w:t>
      </w:r>
      <w:r w:rsidR="00E01462">
        <w:t xml:space="preserve"> and </w:t>
      </w:r>
      <w:r w:rsidR="009D532D">
        <w:t>500-</w:t>
      </w:r>
      <w:r w:rsidR="00E01462">
        <w:t>700mm diameter</w:t>
      </w:r>
      <w:r w:rsidRPr="00790F1E">
        <w:rPr>
          <w:rFonts w:hint="eastAsia"/>
        </w:rPr>
        <w:t xml:space="preserve">. </w:t>
      </w:r>
      <w:r w:rsidR="002C58D6" w:rsidRPr="002C58D6">
        <w:t>Recently,</w:t>
      </w:r>
      <w:r w:rsidR="00790F1E">
        <w:t xml:space="preserve"> the inward particle flux</w:t>
      </w:r>
      <w:r w:rsidR="00E01462">
        <w:t xml:space="preserve"> has been</w:t>
      </w:r>
      <w:r w:rsidR="00790F1E">
        <w:t xml:space="preserve"> observ</w:t>
      </w:r>
      <w:r w:rsidR="00E01462">
        <w:t xml:space="preserve">ed in </w:t>
      </w:r>
      <w:r w:rsidR="009D532D">
        <w:t xml:space="preserve">this linear plasma </w:t>
      </w:r>
      <w:r w:rsidR="00E01462">
        <w:t>device.</w:t>
      </w:r>
      <w:r w:rsidR="00E01462" w:rsidRPr="00E01462">
        <w:t xml:space="preserve"> </w:t>
      </w:r>
      <w:r w:rsidR="00E01462" w:rsidRPr="002C58D6">
        <w:t xml:space="preserve">Combining both </w:t>
      </w:r>
      <w:r w:rsidR="009D532D">
        <w:t>a</w:t>
      </w:r>
      <w:r w:rsidR="00E01462" w:rsidRPr="002C58D6">
        <w:t xml:space="preserve"> high-speed camera and probe </w:t>
      </w:r>
      <w:r w:rsidR="008354A8">
        <w:t>diagnosis</w:t>
      </w:r>
      <w:r w:rsidR="00E01462">
        <w:t xml:space="preserve">, </w:t>
      </w:r>
      <w:r w:rsidR="00EF2280">
        <w:t xml:space="preserve">inward particle flux and outward particle flux are </w:t>
      </w:r>
      <w:r w:rsidR="00A946D7">
        <w:t>observed</w:t>
      </w:r>
      <w:r w:rsidR="00E01462">
        <w:t xml:space="preserve"> </w:t>
      </w:r>
      <w:r w:rsidR="00EF2280" w:rsidRPr="00EF2280">
        <w:t>simultaneously</w:t>
      </w:r>
      <w:r w:rsidR="008B51BF" w:rsidRPr="008B51BF">
        <w:rPr>
          <w:lang w:val="en-US"/>
        </w:rPr>
        <w:t xml:space="preserve"> </w:t>
      </w:r>
      <w:r w:rsidR="008B51BF" w:rsidRPr="008C2D7C">
        <w:rPr>
          <w:lang w:val="en-US"/>
        </w:rPr>
        <w:t>at certain experimental parameters</w:t>
      </w:r>
      <w:r w:rsidR="00790F1E">
        <w:t>.</w:t>
      </w:r>
      <w:r w:rsidR="00EF2280">
        <w:t xml:space="preserve"> Based</w:t>
      </w:r>
      <w:r w:rsidR="00A946D7">
        <w:t xml:space="preserve"> </w:t>
      </w:r>
      <w:r w:rsidR="00EF2280">
        <w:t>on the theoretical and experimental analysis,</w:t>
      </w:r>
      <w:r w:rsidR="00941468">
        <w:t xml:space="preserve"> the nonlinear interaction </w:t>
      </w:r>
      <w:r w:rsidR="00355C58">
        <w:t>of streamers could drive the inward particle flux</w:t>
      </w:r>
      <w:r w:rsidR="00932ABF">
        <w:t xml:space="preserve"> in the region </w:t>
      </w:r>
      <w:r w:rsidR="00971412">
        <w:t>without the boundary effect</w:t>
      </w:r>
      <w:r w:rsidR="00971412">
        <w:t xml:space="preserve"> where </w:t>
      </w:r>
      <w:r w:rsidR="00932ABF">
        <w:t>the density fluctuat</w:t>
      </w:r>
      <w:r w:rsidR="008354A8">
        <w:t>ion</w:t>
      </w:r>
      <w:r w:rsidR="00932ABF">
        <w:t xml:space="preserve"> saturat</w:t>
      </w:r>
      <w:r w:rsidR="008354A8">
        <w:t>ed</w:t>
      </w:r>
      <w:r w:rsidR="00355C58">
        <w:t>.</w:t>
      </w:r>
      <w:r w:rsidR="00932ABF">
        <w:t xml:space="preserve"> The m</w:t>
      </w:r>
      <w:r w:rsidR="008354A8">
        <w:t xml:space="preserve">agnetic field impacts </w:t>
      </w:r>
      <w:r w:rsidR="00932ABF">
        <w:t xml:space="preserve">the distribution of </w:t>
      </w:r>
      <w:r w:rsidR="008354A8">
        <w:t xml:space="preserve">the inward </w:t>
      </w:r>
      <w:r w:rsidR="00932ABF">
        <w:t xml:space="preserve">particle flux and the power of helicon source has </w:t>
      </w:r>
      <w:r w:rsidR="008354A8">
        <w:t>an effect</w:t>
      </w:r>
      <w:r w:rsidR="00932ABF">
        <w:t xml:space="preserve"> on the amplitude of the outward </w:t>
      </w:r>
      <w:r w:rsidR="009D532D">
        <w:t>particle flux.</w:t>
      </w:r>
    </w:p>
    <w:p w14:paraId="26A2AE79" w14:textId="77777777" w:rsidR="00172F51" w:rsidRPr="00304537" w:rsidRDefault="00172F51" w:rsidP="007C1473">
      <w:pPr>
        <w:pStyle w:val="Default"/>
        <w:jc w:val="both"/>
        <w:rPr>
          <w:lang w:val="en-US"/>
        </w:rPr>
      </w:pPr>
    </w:p>
    <w:p w14:paraId="4FEADBC6" w14:textId="77777777" w:rsidR="00172F51" w:rsidRPr="00F724D4" w:rsidRDefault="00172F51" w:rsidP="007C1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9E3B" w14:textId="77777777" w:rsidR="00DA31FE" w:rsidRDefault="00DA31FE" w:rsidP="00703516">
      <w:pPr>
        <w:spacing w:after="0" w:line="240" w:lineRule="auto"/>
      </w:pPr>
      <w:r>
        <w:separator/>
      </w:r>
    </w:p>
  </w:endnote>
  <w:endnote w:type="continuationSeparator" w:id="0">
    <w:p w14:paraId="5715DAD7" w14:textId="77777777" w:rsidR="00DA31FE" w:rsidRDefault="00DA31FE" w:rsidP="0070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9CA8" w14:textId="77777777" w:rsidR="00DA31FE" w:rsidRDefault="00DA31FE" w:rsidP="00703516">
      <w:pPr>
        <w:spacing w:after="0" w:line="240" w:lineRule="auto"/>
      </w:pPr>
      <w:r>
        <w:separator/>
      </w:r>
    </w:p>
  </w:footnote>
  <w:footnote w:type="continuationSeparator" w:id="0">
    <w:p w14:paraId="39FDF319" w14:textId="77777777" w:rsidR="00DA31FE" w:rsidRDefault="00DA31FE" w:rsidP="00703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37A7B"/>
    <w:rsid w:val="0007701F"/>
    <w:rsid w:val="000B7AE0"/>
    <w:rsid w:val="0011275B"/>
    <w:rsid w:val="001431F8"/>
    <w:rsid w:val="00172F51"/>
    <w:rsid w:val="001E0319"/>
    <w:rsid w:val="00207990"/>
    <w:rsid w:val="002613C6"/>
    <w:rsid w:val="002A0132"/>
    <w:rsid w:val="002B1B1E"/>
    <w:rsid w:val="002C58D6"/>
    <w:rsid w:val="00304537"/>
    <w:rsid w:val="00355C58"/>
    <w:rsid w:val="0045686B"/>
    <w:rsid w:val="00464746"/>
    <w:rsid w:val="0047107B"/>
    <w:rsid w:val="00490669"/>
    <w:rsid w:val="004B6517"/>
    <w:rsid w:val="004E0655"/>
    <w:rsid w:val="005208C2"/>
    <w:rsid w:val="005335AE"/>
    <w:rsid w:val="00574ABC"/>
    <w:rsid w:val="005B2E78"/>
    <w:rsid w:val="006101EE"/>
    <w:rsid w:val="0064498A"/>
    <w:rsid w:val="00653681"/>
    <w:rsid w:val="006854F8"/>
    <w:rsid w:val="00700C7D"/>
    <w:rsid w:val="00703516"/>
    <w:rsid w:val="00711933"/>
    <w:rsid w:val="007453BE"/>
    <w:rsid w:val="00773E87"/>
    <w:rsid w:val="00790F1E"/>
    <w:rsid w:val="007C0956"/>
    <w:rsid w:val="007C1473"/>
    <w:rsid w:val="008354A8"/>
    <w:rsid w:val="008A02C6"/>
    <w:rsid w:val="008A79E2"/>
    <w:rsid w:val="008B1874"/>
    <w:rsid w:val="008B51BF"/>
    <w:rsid w:val="008C2D7C"/>
    <w:rsid w:val="008E26FD"/>
    <w:rsid w:val="00904C43"/>
    <w:rsid w:val="00910550"/>
    <w:rsid w:val="00932ABF"/>
    <w:rsid w:val="00941468"/>
    <w:rsid w:val="00971412"/>
    <w:rsid w:val="009A3324"/>
    <w:rsid w:val="009D532D"/>
    <w:rsid w:val="00A946D7"/>
    <w:rsid w:val="00B04296"/>
    <w:rsid w:val="00B14154"/>
    <w:rsid w:val="00B4204A"/>
    <w:rsid w:val="00BB4740"/>
    <w:rsid w:val="00C67C56"/>
    <w:rsid w:val="00CB5F0F"/>
    <w:rsid w:val="00D26CC1"/>
    <w:rsid w:val="00D47A01"/>
    <w:rsid w:val="00DA31FE"/>
    <w:rsid w:val="00DC42A2"/>
    <w:rsid w:val="00E01462"/>
    <w:rsid w:val="00E16B73"/>
    <w:rsid w:val="00E412FD"/>
    <w:rsid w:val="00E50186"/>
    <w:rsid w:val="00EF2280"/>
    <w:rsid w:val="00F724D4"/>
    <w:rsid w:val="00FB79E8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E87AF"/>
  <w15:docId w15:val="{048BBF37-5A6F-414E-92A0-51AD1EAB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5">
    <w:name w:val="header"/>
    <w:basedOn w:val="a"/>
    <w:link w:val="a6"/>
    <w:unhideWhenUsed/>
    <w:rsid w:val="0070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03516"/>
    <w:rPr>
      <w:rFonts w:ascii="Calibri" w:hAnsi="Calibri"/>
      <w:sz w:val="18"/>
      <w:szCs w:val="18"/>
      <w:lang w:val="el-GR" w:eastAsia="el-GR"/>
    </w:rPr>
  </w:style>
  <w:style w:type="paragraph" w:styleId="a7">
    <w:name w:val="footer"/>
    <w:basedOn w:val="a"/>
    <w:link w:val="a8"/>
    <w:unhideWhenUsed/>
    <w:rsid w:val="007035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03516"/>
    <w:rPr>
      <w:rFonts w:ascii="Calibri" w:hAnsi="Calibr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TIRIS</cp:lastModifiedBy>
  <cp:revision>18</cp:revision>
  <dcterms:created xsi:type="dcterms:W3CDTF">2023-01-30T05:20:00Z</dcterms:created>
  <dcterms:modified xsi:type="dcterms:W3CDTF">2023-01-30T14:22:00Z</dcterms:modified>
</cp:coreProperties>
</file>