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88509" w14:textId="0F1E0368" w:rsidR="00172F51" w:rsidRPr="005A406C" w:rsidRDefault="00270860" w:rsidP="005A406C">
      <w:pPr>
        <w:pStyle w:val="Default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First measurements of an imaging heavy ion beam probe at the ASDEX Upgrade tokamak</w:t>
      </w:r>
    </w:p>
    <w:p w14:paraId="22E48456" w14:textId="0B99C7D0" w:rsidR="0007701F" w:rsidRPr="00801EFB" w:rsidRDefault="00B638F1" w:rsidP="007C1473">
      <w:pPr>
        <w:pStyle w:val="Default"/>
        <w:jc w:val="center"/>
        <w:rPr>
          <w:lang w:val="en-US"/>
        </w:rPr>
      </w:pPr>
      <w:proofErr w:type="gramStart"/>
      <w:r w:rsidRPr="00801EFB">
        <w:rPr>
          <w:lang w:val="en-US"/>
        </w:rPr>
        <w:t>J.Galdon</w:t>
      </w:r>
      <w:proofErr w:type="gramEnd"/>
      <w:r w:rsidRPr="00801EFB">
        <w:rPr>
          <w:lang w:val="en-US"/>
        </w:rPr>
        <w:t>-Quiroga</w:t>
      </w:r>
      <w:r w:rsidR="00172F51" w:rsidRPr="00801EFB">
        <w:rPr>
          <w:vertAlign w:val="superscript"/>
          <w:lang w:val="en-US"/>
        </w:rPr>
        <w:t>1</w:t>
      </w:r>
      <w:r w:rsidR="00172F51" w:rsidRPr="00801EFB">
        <w:rPr>
          <w:lang w:val="en-US"/>
        </w:rPr>
        <w:t xml:space="preserve">, </w:t>
      </w:r>
      <w:r w:rsidRPr="00801EFB">
        <w:rPr>
          <w:lang w:val="en-US"/>
        </w:rPr>
        <w:t>G.Birkenmeier</w:t>
      </w:r>
      <w:r w:rsidR="00172F51" w:rsidRPr="00801EFB">
        <w:rPr>
          <w:vertAlign w:val="superscript"/>
          <w:lang w:val="en-US"/>
        </w:rPr>
        <w:t>2</w:t>
      </w:r>
      <w:r w:rsidR="004739F3">
        <w:rPr>
          <w:vertAlign w:val="superscript"/>
          <w:lang w:val="en-US"/>
        </w:rPr>
        <w:t>,3</w:t>
      </w:r>
      <w:r w:rsidR="00172F51" w:rsidRPr="00801EFB">
        <w:rPr>
          <w:lang w:val="en-US"/>
        </w:rPr>
        <w:t xml:space="preserve">, </w:t>
      </w:r>
      <w:r w:rsidRPr="00801EFB">
        <w:rPr>
          <w:lang w:val="en-US"/>
        </w:rPr>
        <w:t>P.Oyola</w:t>
      </w:r>
      <w:r w:rsidR="004739F3">
        <w:rPr>
          <w:vertAlign w:val="superscript"/>
          <w:lang w:val="en-US"/>
        </w:rPr>
        <w:t>1</w:t>
      </w:r>
      <w:r w:rsidR="00172F51" w:rsidRPr="00801EFB">
        <w:rPr>
          <w:lang w:val="en-US"/>
        </w:rPr>
        <w:t>,</w:t>
      </w:r>
      <w:r w:rsidRPr="00801EFB">
        <w:rPr>
          <w:lang w:val="en-US"/>
        </w:rPr>
        <w:t xml:space="preserve"> H.Lindl</w:t>
      </w:r>
      <w:r w:rsidR="00E227F4" w:rsidRPr="00E227F4">
        <w:rPr>
          <w:vertAlign w:val="superscript"/>
          <w:lang w:val="en-US"/>
        </w:rPr>
        <w:t>2</w:t>
      </w:r>
      <w:r w:rsidRPr="00801EFB">
        <w:rPr>
          <w:lang w:val="en-US"/>
        </w:rPr>
        <w:t xml:space="preserve">, </w:t>
      </w:r>
      <w:r w:rsidR="00801EFB" w:rsidRPr="00801EFB">
        <w:rPr>
          <w:lang w:val="en-US"/>
        </w:rPr>
        <w:t>A.Rodriguez-</w:t>
      </w:r>
      <w:r w:rsidR="00801EFB">
        <w:rPr>
          <w:lang w:val="en-US"/>
        </w:rPr>
        <w:t>Gonzalez</w:t>
      </w:r>
      <w:r w:rsidR="00E227F4" w:rsidRPr="00E227F4">
        <w:rPr>
          <w:vertAlign w:val="superscript"/>
          <w:lang w:val="en-US"/>
        </w:rPr>
        <w:t>1</w:t>
      </w:r>
      <w:r w:rsidR="00801EFB">
        <w:rPr>
          <w:lang w:val="en-US"/>
        </w:rPr>
        <w:t xml:space="preserve">, </w:t>
      </w:r>
      <w:r w:rsidR="00876339">
        <w:rPr>
          <w:lang w:val="en-US"/>
        </w:rPr>
        <w:t>G.Anda</w:t>
      </w:r>
      <w:r w:rsidR="00876339" w:rsidRPr="00E227F4">
        <w:rPr>
          <w:vertAlign w:val="superscript"/>
          <w:lang w:val="en-US"/>
        </w:rPr>
        <w:t>4</w:t>
      </w:r>
      <w:r w:rsidR="00876339">
        <w:rPr>
          <w:lang w:val="en-US"/>
        </w:rPr>
        <w:t>,</w:t>
      </w:r>
      <w:r w:rsidR="003A047A">
        <w:rPr>
          <w:lang w:val="en-US"/>
        </w:rPr>
        <w:t xml:space="preserve"> </w:t>
      </w:r>
      <w:r w:rsidR="00C712CA" w:rsidRPr="00F36193">
        <w:rPr>
          <w:color w:val="auto"/>
          <w:lang w:val="en-US"/>
        </w:rPr>
        <w:t>M.Garcia-Munoz</w:t>
      </w:r>
      <w:r w:rsidR="00C712CA" w:rsidRPr="00F36193">
        <w:rPr>
          <w:color w:val="auto"/>
          <w:vertAlign w:val="superscript"/>
          <w:lang w:val="en-US"/>
        </w:rPr>
        <w:t>1</w:t>
      </w:r>
      <w:r w:rsidR="00C712CA">
        <w:rPr>
          <w:lang w:val="en-US"/>
        </w:rPr>
        <w:t xml:space="preserve">, </w:t>
      </w:r>
      <w:r w:rsidR="003A047A">
        <w:rPr>
          <w:lang w:val="en-US"/>
        </w:rPr>
        <w:t>A.Herrmann</w:t>
      </w:r>
      <w:r w:rsidR="004B6ECA" w:rsidRPr="004B6ECA">
        <w:rPr>
          <w:vertAlign w:val="superscript"/>
          <w:lang w:val="en-US"/>
        </w:rPr>
        <w:t>2</w:t>
      </w:r>
      <w:r w:rsidR="004B6ECA">
        <w:rPr>
          <w:lang w:val="en-US"/>
        </w:rPr>
        <w:t>,</w:t>
      </w:r>
      <w:r w:rsidR="00876339">
        <w:rPr>
          <w:lang w:val="en-US"/>
        </w:rPr>
        <w:t xml:space="preserve"> </w:t>
      </w:r>
      <w:r w:rsidR="00120493">
        <w:rPr>
          <w:lang w:val="en-US"/>
        </w:rPr>
        <w:t>J.Kalis</w:t>
      </w:r>
      <w:r w:rsidR="00E227F4" w:rsidRPr="00E227F4">
        <w:rPr>
          <w:vertAlign w:val="superscript"/>
          <w:lang w:val="en-US"/>
        </w:rPr>
        <w:t>2</w:t>
      </w:r>
      <w:r w:rsidR="00120493">
        <w:rPr>
          <w:lang w:val="en-US"/>
        </w:rPr>
        <w:t>,</w:t>
      </w:r>
      <w:r w:rsidR="00876339">
        <w:rPr>
          <w:lang w:val="en-US"/>
        </w:rPr>
        <w:t xml:space="preserve"> K.Kaunert</w:t>
      </w:r>
      <w:r w:rsidR="00876339" w:rsidRPr="00E227F4">
        <w:rPr>
          <w:vertAlign w:val="superscript"/>
          <w:lang w:val="en-US"/>
        </w:rPr>
        <w:t>2</w:t>
      </w:r>
      <w:r w:rsidR="00876339">
        <w:rPr>
          <w:lang w:val="en-US"/>
        </w:rPr>
        <w:t>,</w:t>
      </w:r>
      <w:r w:rsidR="004B6ECA">
        <w:rPr>
          <w:lang w:val="en-US"/>
        </w:rPr>
        <w:t xml:space="preserve"> T.Lunt</w:t>
      </w:r>
      <w:r w:rsidR="004B6ECA" w:rsidRPr="004B6ECA">
        <w:rPr>
          <w:vertAlign w:val="superscript"/>
          <w:lang w:val="en-US"/>
        </w:rPr>
        <w:t>2</w:t>
      </w:r>
      <w:r w:rsidR="004B6ECA">
        <w:rPr>
          <w:lang w:val="en-US"/>
        </w:rPr>
        <w:t>,</w:t>
      </w:r>
      <w:r w:rsidR="003A047A">
        <w:rPr>
          <w:lang w:val="en-US"/>
        </w:rPr>
        <w:t xml:space="preserve"> </w:t>
      </w:r>
      <w:r w:rsidR="008A07E3">
        <w:rPr>
          <w:lang w:val="en-US"/>
        </w:rPr>
        <w:t>D.Refy</w:t>
      </w:r>
      <w:r w:rsidR="008A07E3" w:rsidRPr="008A07E3">
        <w:rPr>
          <w:vertAlign w:val="superscript"/>
          <w:lang w:val="en-US"/>
        </w:rPr>
        <w:t>4</w:t>
      </w:r>
      <w:r w:rsidR="008A07E3">
        <w:rPr>
          <w:lang w:val="en-US"/>
        </w:rPr>
        <w:t xml:space="preserve">, </w:t>
      </w:r>
      <w:r w:rsidR="003A047A">
        <w:rPr>
          <w:lang w:val="en-US"/>
        </w:rPr>
        <w:t>V.Rohde</w:t>
      </w:r>
      <w:r w:rsidR="003A047A" w:rsidRPr="0082379B">
        <w:rPr>
          <w:vertAlign w:val="superscript"/>
          <w:lang w:val="en-US"/>
        </w:rPr>
        <w:t>2</w:t>
      </w:r>
      <w:r w:rsidR="003A047A">
        <w:rPr>
          <w:lang w:val="en-US"/>
        </w:rPr>
        <w:t>,</w:t>
      </w:r>
      <w:r w:rsidR="00876339">
        <w:rPr>
          <w:lang w:val="en-US"/>
        </w:rPr>
        <w:t xml:space="preserve"> </w:t>
      </w:r>
      <w:r w:rsidR="00B87FA6">
        <w:rPr>
          <w:lang w:val="en-US"/>
        </w:rPr>
        <w:t>M.Sochor</w:t>
      </w:r>
      <w:r w:rsidR="00E227F4" w:rsidRPr="00E227F4">
        <w:rPr>
          <w:vertAlign w:val="superscript"/>
          <w:lang w:val="en-US"/>
        </w:rPr>
        <w:t>2</w:t>
      </w:r>
      <w:r w:rsidR="00B87FA6">
        <w:rPr>
          <w:lang w:val="en-US"/>
        </w:rPr>
        <w:t>,</w:t>
      </w:r>
      <w:r w:rsidR="00876339">
        <w:rPr>
          <w:lang w:val="en-US"/>
        </w:rPr>
        <w:t xml:space="preserve"> B.Tal</w:t>
      </w:r>
      <w:r w:rsidR="00876339" w:rsidRPr="00E227F4">
        <w:rPr>
          <w:vertAlign w:val="superscript"/>
          <w:lang w:val="en-US"/>
        </w:rPr>
        <w:t>2</w:t>
      </w:r>
      <w:r w:rsidR="00876339">
        <w:rPr>
          <w:lang w:val="en-US"/>
        </w:rPr>
        <w:t xml:space="preserve">, </w:t>
      </w:r>
      <w:r w:rsidR="00B31A64">
        <w:rPr>
          <w:lang w:val="en-US"/>
        </w:rPr>
        <w:t>M.Teschke</w:t>
      </w:r>
      <w:r w:rsidR="00E227F4" w:rsidRPr="00E227F4">
        <w:rPr>
          <w:vertAlign w:val="superscript"/>
          <w:lang w:val="en-US"/>
        </w:rPr>
        <w:t>2</w:t>
      </w:r>
      <w:r w:rsidR="00B31A64">
        <w:rPr>
          <w:lang w:val="en-US"/>
        </w:rPr>
        <w:t>,</w:t>
      </w:r>
      <w:r w:rsidR="00801EFB">
        <w:rPr>
          <w:lang w:val="en-US"/>
        </w:rPr>
        <w:t xml:space="preserve"> E.Viezzer</w:t>
      </w:r>
      <w:r w:rsidR="00E227F4" w:rsidRPr="00E227F4">
        <w:rPr>
          <w:vertAlign w:val="superscript"/>
          <w:lang w:val="en-US"/>
        </w:rPr>
        <w:t>1</w:t>
      </w:r>
      <w:r w:rsidR="00801EFB">
        <w:rPr>
          <w:lang w:val="en-US"/>
        </w:rPr>
        <w:t xml:space="preserve">, </w:t>
      </w:r>
      <w:r w:rsidR="00640A58">
        <w:rPr>
          <w:lang w:val="en-US"/>
        </w:rPr>
        <w:t>E.Wolfrum</w:t>
      </w:r>
      <w:r w:rsidR="00E227F4" w:rsidRPr="00E227F4">
        <w:rPr>
          <w:vertAlign w:val="superscript"/>
          <w:lang w:val="en-US"/>
        </w:rPr>
        <w:t>2</w:t>
      </w:r>
      <w:r w:rsidR="00876339">
        <w:rPr>
          <w:lang w:val="en-US"/>
        </w:rPr>
        <w:t>, S.Zoletnik</w:t>
      </w:r>
      <w:r w:rsidR="00876339" w:rsidRPr="00E227F4">
        <w:rPr>
          <w:vertAlign w:val="superscript"/>
          <w:lang w:val="en-US"/>
        </w:rPr>
        <w:t>4</w:t>
      </w:r>
      <w:r w:rsidR="00876339">
        <w:rPr>
          <w:lang w:val="en-US"/>
        </w:rPr>
        <w:t xml:space="preserve"> </w:t>
      </w:r>
      <w:r w:rsidR="00B31A64">
        <w:rPr>
          <w:lang w:val="en-US"/>
        </w:rPr>
        <w:t>and the ASDEX Upgrade Team</w:t>
      </w:r>
    </w:p>
    <w:p w14:paraId="33B59775" w14:textId="4D93F841" w:rsidR="00172F51" w:rsidRPr="00B00A4B" w:rsidRDefault="00172F51" w:rsidP="007C1473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1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801EFB">
        <w:rPr>
          <w:i/>
          <w:iCs/>
          <w:sz w:val="22"/>
          <w:szCs w:val="22"/>
          <w:lang w:val="en-US"/>
        </w:rPr>
        <w:t>Department of Atomic, Molecular and Nuclear Physics, University of Seville,</w:t>
      </w:r>
      <w:r w:rsidR="00EC67EA">
        <w:rPr>
          <w:i/>
          <w:iCs/>
          <w:sz w:val="22"/>
          <w:szCs w:val="22"/>
          <w:lang w:val="en-US"/>
        </w:rPr>
        <w:t xml:space="preserve"> Seville,</w:t>
      </w:r>
      <w:r w:rsidR="00801EFB">
        <w:rPr>
          <w:i/>
          <w:iCs/>
          <w:sz w:val="22"/>
          <w:szCs w:val="22"/>
          <w:lang w:val="en-US"/>
        </w:rPr>
        <w:t xml:space="preserve"> Spain</w:t>
      </w:r>
    </w:p>
    <w:p w14:paraId="58803087" w14:textId="6D462CC4" w:rsidR="00172F51" w:rsidRPr="00B00A4B" w:rsidRDefault="00172F51" w:rsidP="007C1473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2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801EFB">
        <w:rPr>
          <w:i/>
          <w:iCs/>
          <w:sz w:val="22"/>
          <w:szCs w:val="22"/>
          <w:lang w:val="en-US"/>
        </w:rPr>
        <w:t xml:space="preserve">Max Planck Institute for Plasma Physics, </w:t>
      </w:r>
      <w:proofErr w:type="spellStart"/>
      <w:r w:rsidR="00801EFB">
        <w:rPr>
          <w:i/>
          <w:iCs/>
          <w:sz w:val="22"/>
          <w:szCs w:val="22"/>
          <w:lang w:val="en-US"/>
        </w:rPr>
        <w:t>Garching</w:t>
      </w:r>
      <w:proofErr w:type="spellEnd"/>
      <w:r w:rsidR="00801EFB">
        <w:rPr>
          <w:i/>
          <w:iCs/>
          <w:sz w:val="22"/>
          <w:szCs w:val="22"/>
          <w:lang w:val="en-US"/>
        </w:rPr>
        <w:t>, Germany</w:t>
      </w:r>
    </w:p>
    <w:p w14:paraId="48D2A0C1" w14:textId="7E285B5E" w:rsidR="00172F51" w:rsidRPr="00B00A4B" w:rsidRDefault="00172F51" w:rsidP="007C1473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3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BA4705">
        <w:rPr>
          <w:i/>
          <w:iCs/>
          <w:sz w:val="22"/>
          <w:szCs w:val="22"/>
          <w:lang w:val="en-US"/>
        </w:rPr>
        <w:t>Physics Department E28, Technical University of Munich</w:t>
      </w:r>
      <w:r w:rsidR="00EC67EA">
        <w:rPr>
          <w:i/>
          <w:iCs/>
          <w:sz w:val="22"/>
          <w:szCs w:val="22"/>
          <w:lang w:val="en-US"/>
        </w:rPr>
        <w:t xml:space="preserve">, </w:t>
      </w:r>
      <w:proofErr w:type="spellStart"/>
      <w:r w:rsidR="00EC67EA">
        <w:rPr>
          <w:i/>
          <w:iCs/>
          <w:sz w:val="22"/>
          <w:szCs w:val="22"/>
          <w:lang w:val="en-US"/>
        </w:rPr>
        <w:t>Garching</w:t>
      </w:r>
      <w:proofErr w:type="spellEnd"/>
      <w:r w:rsidR="00EC67EA">
        <w:rPr>
          <w:i/>
          <w:iCs/>
          <w:sz w:val="22"/>
          <w:szCs w:val="22"/>
          <w:lang w:val="en-US"/>
        </w:rPr>
        <w:t>, Germany</w:t>
      </w:r>
    </w:p>
    <w:p w14:paraId="3C299BA5" w14:textId="3C2A1569" w:rsidR="00172F51" w:rsidRPr="00D63FA3" w:rsidRDefault="00FD31BB" w:rsidP="00D63FA3">
      <w:pPr>
        <w:pStyle w:val="Default"/>
        <w:jc w:val="center"/>
        <w:rPr>
          <w:i/>
          <w:iCs/>
          <w:sz w:val="22"/>
          <w:szCs w:val="22"/>
          <w:lang w:val="en-US"/>
        </w:rPr>
      </w:pPr>
      <w:r>
        <w:rPr>
          <w:i/>
          <w:iCs/>
          <w:sz w:val="22"/>
          <w:szCs w:val="22"/>
          <w:vertAlign w:val="superscript"/>
          <w:lang w:val="en-US"/>
        </w:rPr>
        <w:t>4</w:t>
      </w:r>
      <w:r w:rsidR="0061759D">
        <w:rPr>
          <w:i/>
          <w:iCs/>
          <w:sz w:val="22"/>
          <w:szCs w:val="22"/>
          <w:lang w:val="en-US"/>
        </w:rPr>
        <w:t>Centre for Energy Research, Budapest, Hungary</w:t>
      </w:r>
    </w:p>
    <w:p w14:paraId="3D2DC461" w14:textId="5A327688" w:rsidR="00D82158" w:rsidRDefault="00796546" w:rsidP="007C1473">
      <w:pPr>
        <w:pStyle w:val="Default"/>
        <w:jc w:val="both"/>
        <w:rPr>
          <w:lang w:val="en-US"/>
        </w:rPr>
      </w:pPr>
      <w:r>
        <w:rPr>
          <w:lang w:val="en-US"/>
        </w:rPr>
        <w:t>The imaging heavy ion beam probe 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-HIBP) diagnostic</w:t>
      </w:r>
      <w:r w:rsidR="00B11B35">
        <w:rPr>
          <w:lang w:val="en-US"/>
        </w:rPr>
        <w:t xml:space="preserve"> [1-3]</w:t>
      </w:r>
      <w:r>
        <w:rPr>
          <w:lang w:val="en-US"/>
        </w:rPr>
        <w:t xml:space="preserve"> has been successfully commissioned at ASDEX Upgrade</w:t>
      </w:r>
      <w:r w:rsidR="00B863E0">
        <w:rPr>
          <w:lang w:val="en-US"/>
        </w:rPr>
        <w:t>.</w:t>
      </w:r>
      <w:r w:rsidR="00012D41">
        <w:rPr>
          <w:lang w:val="en-US"/>
        </w:rPr>
        <w:t xml:space="preserve"> The </w:t>
      </w:r>
      <w:proofErr w:type="spellStart"/>
      <w:r w:rsidR="00012D41">
        <w:rPr>
          <w:lang w:val="en-US"/>
        </w:rPr>
        <w:t>i</w:t>
      </w:r>
      <w:proofErr w:type="spellEnd"/>
      <w:r w:rsidR="00012D41">
        <w:rPr>
          <w:lang w:val="en-US"/>
        </w:rPr>
        <w:t xml:space="preserve">-HIBP </w:t>
      </w:r>
      <w:r w:rsidR="003A245B">
        <w:rPr>
          <w:lang w:val="en-US"/>
        </w:rPr>
        <w:t>injects</w:t>
      </w:r>
      <w:r w:rsidR="00012D41">
        <w:rPr>
          <w:lang w:val="en-US"/>
        </w:rPr>
        <w:t xml:space="preserve"> a </w:t>
      </w:r>
      <w:r w:rsidR="00504262">
        <w:rPr>
          <w:lang w:val="en-US"/>
        </w:rPr>
        <w:t>primary neutral beam</w:t>
      </w:r>
      <w:r w:rsidR="003A245B">
        <w:rPr>
          <w:lang w:val="en-US"/>
        </w:rPr>
        <w:t xml:space="preserve"> into the plasma, where it is ionized leading to a fan of secondary </w:t>
      </w:r>
      <w:r w:rsidR="00B72E42">
        <w:rPr>
          <w:lang w:val="en-US"/>
        </w:rPr>
        <w:t xml:space="preserve">(charged) </w:t>
      </w:r>
      <w:r w:rsidR="004B5635">
        <w:rPr>
          <w:lang w:val="en-US"/>
        </w:rPr>
        <w:t xml:space="preserve">beams. </w:t>
      </w:r>
      <w:r w:rsidR="001334EA">
        <w:rPr>
          <w:lang w:val="en-US"/>
        </w:rPr>
        <w:t>These are</w:t>
      </w:r>
      <w:r w:rsidR="004B0F19">
        <w:rPr>
          <w:lang w:val="en-US"/>
        </w:rPr>
        <w:t xml:space="preserve"> deflected by the magnetic field of the tokamak and</w:t>
      </w:r>
      <w:r w:rsidR="001334EA">
        <w:rPr>
          <w:lang w:val="en-US"/>
        </w:rPr>
        <w:t xml:space="preserve"> collected by a scintillator detector</w:t>
      </w:r>
      <w:r w:rsidR="005C0EC2">
        <w:rPr>
          <w:lang w:val="en-US"/>
        </w:rPr>
        <w:t xml:space="preserve">, generating a </w:t>
      </w:r>
      <w:r w:rsidR="009D70A6">
        <w:rPr>
          <w:lang w:val="en-US"/>
        </w:rPr>
        <w:t xml:space="preserve">strike-line </w:t>
      </w:r>
      <w:r w:rsidR="005C0EC2">
        <w:rPr>
          <w:lang w:val="en-US"/>
        </w:rPr>
        <w:t xml:space="preserve">light </w:t>
      </w:r>
      <w:r w:rsidR="009D70A6">
        <w:rPr>
          <w:lang w:val="en-US"/>
        </w:rPr>
        <w:t xml:space="preserve">pattern </w:t>
      </w:r>
      <w:r w:rsidR="00D63FA3">
        <w:rPr>
          <w:lang w:val="en-US"/>
        </w:rPr>
        <w:t>which</w:t>
      </w:r>
      <w:r w:rsidR="009D70A6">
        <w:rPr>
          <w:lang w:val="en-US"/>
        </w:rPr>
        <w:t xml:space="preserve"> encodes information </w:t>
      </w:r>
      <w:r w:rsidR="00C5782D">
        <w:rPr>
          <w:lang w:val="en-US"/>
        </w:rPr>
        <w:t xml:space="preserve">on the density, electrostatic potential and magnetic field of the plasma edge. </w:t>
      </w:r>
      <w:r w:rsidR="00B863E0">
        <w:rPr>
          <w:lang w:val="en-US"/>
        </w:rPr>
        <w:t>T</w:t>
      </w:r>
      <w:r w:rsidR="00491B3A">
        <w:rPr>
          <w:lang w:val="en-US"/>
        </w:rPr>
        <w:t xml:space="preserve">he first </w:t>
      </w:r>
      <w:r w:rsidR="00EC1DEF">
        <w:rPr>
          <w:lang w:val="en-US"/>
        </w:rPr>
        <w:t>measurements have been made</w:t>
      </w:r>
      <w:r w:rsidR="00B863E0">
        <w:rPr>
          <w:lang w:val="en-US"/>
        </w:rPr>
        <w:t xml:space="preserve">, </w:t>
      </w:r>
      <w:r w:rsidR="009D5B4E">
        <w:rPr>
          <w:lang w:val="en-US"/>
        </w:rPr>
        <w:t>demonstrating the proof-of-principle of this diagnostic</w:t>
      </w:r>
      <w:r w:rsidR="00EF4DF7">
        <w:rPr>
          <w:lang w:val="en-US"/>
        </w:rPr>
        <w:t xml:space="preserve"> technique</w:t>
      </w:r>
      <w:r w:rsidR="00CE2FE9">
        <w:rPr>
          <w:lang w:val="en-US"/>
        </w:rPr>
        <w:t>.</w:t>
      </w:r>
      <w:r w:rsidR="00E80D0A">
        <w:rPr>
          <w:lang w:val="en-US"/>
        </w:rPr>
        <w:t xml:space="preserve"> </w:t>
      </w:r>
      <w:r w:rsidR="00C87235">
        <w:rPr>
          <w:lang w:val="en-US"/>
        </w:rPr>
        <w:t xml:space="preserve">A primary beam of Rb has been used, opposed to the </w:t>
      </w:r>
      <w:r w:rsidR="00B72403" w:rsidRPr="00B72403">
        <w:rPr>
          <w:vertAlign w:val="superscript"/>
          <w:lang w:val="en-US"/>
        </w:rPr>
        <w:t>133</w:t>
      </w:r>
      <w:r w:rsidR="00C87235">
        <w:rPr>
          <w:lang w:val="en-US"/>
        </w:rPr>
        <w:t xml:space="preserve">Cs beam used in the prior campaign, with energies ranging </w:t>
      </w:r>
      <w:r w:rsidR="00C87235" w:rsidRPr="00E72159">
        <w:rPr>
          <w:color w:val="auto"/>
          <w:lang w:val="en-US"/>
        </w:rPr>
        <w:t xml:space="preserve">between </w:t>
      </w:r>
      <w:r w:rsidR="00C66C2F" w:rsidRPr="00E72159">
        <w:rPr>
          <w:color w:val="auto"/>
          <w:lang w:val="en-US"/>
        </w:rPr>
        <w:t>35</w:t>
      </w:r>
      <w:r w:rsidR="00C87235" w:rsidRPr="00E72159">
        <w:rPr>
          <w:color w:val="auto"/>
          <w:lang w:val="en-US"/>
        </w:rPr>
        <w:t>-</w:t>
      </w:r>
      <w:r w:rsidR="00103E11" w:rsidRPr="00E72159">
        <w:rPr>
          <w:color w:val="auto"/>
          <w:lang w:val="en-US"/>
        </w:rPr>
        <w:t>70</w:t>
      </w:r>
      <w:r w:rsidR="00C87235" w:rsidRPr="00E72159">
        <w:rPr>
          <w:color w:val="auto"/>
          <w:lang w:val="en-US"/>
        </w:rPr>
        <w:t xml:space="preserve"> keV and e</w:t>
      </w:r>
      <w:r w:rsidR="002662D3" w:rsidRPr="00E72159">
        <w:rPr>
          <w:color w:val="auto"/>
          <w:lang w:val="en-US"/>
        </w:rPr>
        <w:t xml:space="preserve">xtracted currents </w:t>
      </w:r>
      <w:r w:rsidR="00937BE4" w:rsidRPr="00E72159">
        <w:rPr>
          <w:color w:val="auto"/>
          <w:lang w:val="en-US"/>
        </w:rPr>
        <w:t>up to</w:t>
      </w:r>
      <w:r w:rsidR="002662D3" w:rsidRPr="00E72159">
        <w:rPr>
          <w:color w:val="auto"/>
          <w:lang w:val="en-US"/>
        </w:rPr>
        <w:t xml:space="preserve"> </w:t>
      </w:r>
      <w:r w:rsidR="00937BE4" w:rsidRPr="00E72159">
        <w:rPr>
          <w:color w:val="auto"/>
          <w:lang w:val="en-US"/>
        </w:rPr>
        <w:t>1</w:t>
      </w:r>
      <w:r w:rsidR="00C66C2F" w:rsidRPr="00E72159">
        <w:rPr>
          <w:color w:val="auto"/>
          <w:lang w:val="en-US"/>
        </w:rPr>
        <w:t>.2</w:t>
      </w:r>
      <w:r w:rsidR="002662D3" w:rsidRPr="00E72159">
        <w:rPr>
          <w:color w:val="auto"/>
          <w:lang w:val="en-US"/>
        </w:rPr>
        <w:t xml:space="preserve"> mA.</w:t>
      </w:r>
      <w:r w:rsidR="008B039E" w:rsidRPr="00E72159">
        <w:rPr>
          <w:color w:val="auto"/>
          <w:lang w:val="en-US"/>
        </w:rPr>
        <w:t xml:space="preserve"> The neutralization efficiency is </w:t>
      </w:r>
      <w:r w:rsidR="00937BE4" w:rsidRPr="00E72159">
        <w:rPr>
          <w:color w:val="auto"/>
          <w:lang w:val="en-US"/>
        </w:rPr>
        <w:t>up to</w:t>
      </w:r>
      <w:r w:rsidR="008B039E" w:rsidRPr="00E72159">
        <w:rPr>
          <w:color w:val="auto"/>
          <w:lang w:val="en-US"/>
        </w:rPr>
        <w:t xml:space="preserve"> </w:t>
      </w:r>
      <w:r w:rsidR="00C66C2F" w:rsidRPr="00E72159">
        <w:rPr>
          <w:color w:val="auto"/>
          <w:lang w:val="en-US"/>
        </w:rPr>
        <w:t>8</w:t>
      </w:r>
      <w:r w:rsidR="00937BE4" w:rsidRPr="00E72159">
        <w:rPr>
          <w:color w:val="auto"/>
          <w:lang w:val="en-US"/>
        </w:rPr>
        <w:t>0</w:t>
      </w:r>
      <w:r w:rsidR="008B039E" w:rsidRPr="00E72159">
        <w:rPr>
          <w:color w:val="auto"/>
          <w:lang w:val="en-US"/>
        </w:rPr>
        <w:t>%</w:t>
      </w:r>
      <w:r w:rsidR="006936CB" w:rsidRPr="00E72159">
        <w:rPr>
          <w:color w:val="auto"/>
          <w:lang w:val="en-US"/>
        </w:rPr>
        <w:t xml:space="preserve"> and the typical beam </w:t>
      </w:r>
      <w:r w:rsidR="005C62C9" w:rsidRPr="00E72159">
        <w:rPr>
          <w:color w:val="auto"/>
          <w:lang w:val="en-US"/>
        </w:rPr>
        <w:t>diameter</w:t>
      </w:r>
      <w:r w:rsidR="006936CB" w:rsidRPr="00E72159">
        <w:rPr>
          <w:color w:val="auto"/>
          <w:lang w:val="en-US"/>
        </w:rPr>
        <w:t xml:space="preserve"> is of the order of </w:t>
      </w:r>
      <w:r w:rsidR="005C62C9" w:rsidRPr="00E72159">
        <w:rPr>
          <w:color w:val="auto"/>
          <w:lang w:val="en-US"/>
        </w:rPr>
        <w:t>5</w:t>
      </w:r>
      <w:r w:rsidR="006936CB" w:rsidRPr="00E72159">
        <w:rPr>
          <w:color w:val="auto"/>
          <w:lang w:val="en-US"/>
        </w:rPr>
        <w:t xml:space="preserve"> mm, without using any</w:t>
      </w:r>
      <w:r w:rsidR="00127F25" w:rsidRPr="00E72159">
        <w:rPr>
          <w:color w:val="auto"/>
          <w:lang w:val="en-US"/>
        </w:rPr>
        <w:t xml:space="preserve"> additional</w:t>
      </w:r>
      <w:r w:rsidR="006936CB" w:rsidRPr="00E72159">
        <w:rPr>
          <w:color w:val="auto"/>
          <w:lang w:val="en-US"/>
        </w:rPr>
        <w:t xml:space="preserve"> collimator</w:t>
      </w:r>
      <w:r w:rsidR="006936CB">
        <w:rPr>
          <w:lang w:val="en-US"/>
        </w:rPr>
        <w:t>.</w:t>
      </w:r>
      <w:r w:rsidR="00EF0A16">
        <w:rPr>
          <w:lang w:val="en-US"/>
        </w:rPr>
        <w:t xml:space="preserve"> The first signals have been obtained in experiments covering a wide range of parameter space, with </w:t>
      </w:r>
      <w:r w:rsidR="00127F25">
        <w:rPr>
          <w:lang w:val="en-US"/>
        </w:rPr>
        <w:t>plasma currents (</w:t>
      </w:r>
      <w:r w:rsidR="00EF0A16">
        <w:rPr>
          <w:lang w:val="en-US"/>
        </w:rPr>
        <w:t>Ip</w:t>
      </w:r>
      <w:r w:rsidR="00127F25">
        <w:rPr>
          <w:lang w:val="en-US"/>
        </w:rPr>
        <w:t>)</w:t>
      </w:r>
      <w:r w:rsidR="00EF0A16">
        <w:rPr>
          <w:lang w:val="en-US"/>
        </w:rPr>
        <w:t xml:space="preserve"> between </w:t>
      </w:r>
      <w:r w:rsidR="00635C21" w:rsidRPr="00A07C83">
        <w:rPr>
          <w:color w:val="000000" w:themeColor="text1"/>
          <w:lang w:val="en-US"/>
        </w:rPr>
        <w:t>0.2</w:t>
      </w:r>
      <w:r w:rsidR="00EF0A16" w:rsidRPr="00A07C83">
        <w:rPr>
          <w:color w:val="000000" w:themeColor="text1"/>
          <w:lang w:val="en-US"/>
        </w:rPr>
        <w:t>-</w:t>
      </w:r>
      <w:r w:rsidR="007D7522" w:rsidRPr="00A07C83">
        <w:rPr>
          <w:color w:val="000000" w:themeColor="text1"/>
          <w:lang w:val="en-US"/>
        </w:rPr>
        <w:t>0.8</w:t>
      </w:r>
      <w:r w:rsidR="00EF0A16" w:rsidRPr="00A07C83">
        <w:rPr>
          <w:color w:val="000000" w:themeColor="text1"/>
          <w:lang w:val="en-US"/>
        </w:rPr>
        <w:t xml:space="preserve"> MA and </w:t>
      </w:r>
      <w:r w:rsidR="00127F25" w:rsidRPr="00A07C83">
        <w:rPr>
          <w:color w:val="000000" w:themeColor="text1"/>
          <w:lang w:val="en-US"/>
        </w:rPr>
        <w:t>on-axis toroidal magnetic field (</w:t>
      </w:r>
      <w:proofErr w:type="spellStart"/>
      <w:r w:rsidR="00EF0A16" w:rsidRPr="00A07C83">
        <w:rPr>
          <w:color w:val="000000" w:themeColor="text1"/>
          <w:lang w:val="en-US"/>
        </w:rPr>
        <w:t>Bt</w:t>
      </w:r>
      <w:proofErr w:type="spellEnd"/>
      <w:r w:rsidR="00127F25" w:rsidRPr="00A07C83">
        <w:rPr>
          <w:color w:val="000000" w:themeColor="text1"/>
          <w:lang w:val="en-US"/>
        </w:rPr>
        <w:t>)</w:t>
      </w:r>
      <w:r w:rsidR="00EF0A16" w:rsidRPr="00A07C83">
        <w:rPr>
          <w:color w:val="000000" w:themeColor="text1"/>
          <w:lang w:val="en-US"/>
        </w:rPr>
        <w:t xml:space="preserve"> between </w:t>
      </w:r>
      <w:r w:rsidR="007D7522" w:rsidRPr="00A07C83">
        <w:rPr>
          <w:color w:val="000000" w:themeColor="text1"/>
          <w:lang w:val="en-US"/>
        </w:rPr>
        <w:t>1.</w:t>
      </w:r>
      <w:r w:rsidR="00464DD2" w:rsidRPr="008C6681">
        <w:rPr>
          <w:color w:val="auto"/>
          <w:lang w:val="en-US"/>
        </w:rPr>
        <w:t>9</w:t>
      </w:r>
      <w:r w:rsidR="007D7522" w:rsidRPr="008C6681">
        <w:rPr>
          <w:color w:val="auto"/>
          <w:lang w:val="en-US"/>
        </w:rPr>
        <w:t>-2.7</w:t>
      </w:r>
      <w:r w:rsidR="00EF0A16" w:rsidRPr="008C6681">
        <w:rPr>
          <w:color w:val="auto"/>
          <w:lang w:val="en-US"/>
        </w:rPr>
        <w:t xml:space="preserve"> T. </w:t>
      </w:r>
      <w:r w:rsidR="00EF0A16">
        <w:rPr>
          <w:lang w:val="en-US"/>
        </w:rPr>
        <w:t xml:space="preserve">Low densities appear to be critical for the performance of the diagnostic, </w:t>
      </w:r>
      <w:r w:rsidR="00614B37">
        <w:rPr>
          <w:lang w:val="en-US"/>
        </w:rPr>
        <w:t>as</w:t>
      </w:r>
      <w:r w:rsidR="00EF0A16">
        <w:rPr>
          <w:lang w:val="en-US"/>
        </w:rPr>
        <w:t xml:space="preserve"> signals </w:t>
      </w:r>
      <w:r w:rsidR="00704E97">
        <w:rPr>
          <w:lang w:val="en-US"/>
        </w:rPr>
        <w:t>are typically</w:t>
      </w:r>
      <w:r w:rsidR="00EF0A16">
        <w:rPr>
          <w:lang w:val="en-US"/>
        </w:rPr>
        <w:t xml:space="preserve"> </w:t>
      </w:r>
      <w:r w:rsidR="00614B37">
        <w:rPr>
          <w:lang w:val="en-US"/>
        </w:rPr>
        <w:t>observed</w:t>
      </w:r>
      <w:r w:rsidR="00EF0A16">
        <w:rPr>
          <w:lang w:val="en-US"/>
        </w:rPr>
        <w:t xml:space="preserve"> only </w:t>
      </w:r>
      <w:r w:rsidR="00194CE7">
        <w:rPr>
          <w:lang w:val="en-US"/>
        </w:rPr>
        <w:t xml:space="preserve">when the </w:t>
      </w:r>
      <w:r w:rsidR="00EF0A16">
        <w:rPr>
          <w:lang w:val="en-US"/>
        </w:rPr>
        <w:t>line integrated density</w:t>
      </w:r>
      <w:r w:rsidR="00F20162">
        <w:rPr>
          <w:lang w:val="en-US"/>
        </w:rPr>
        <w:t xml:space="preserve"> is</w:t>
      </w:r>
      <w:r w:rsidR="00EF0A16">
        <w:rPr>
          <w:lang w:val="en-US"/>
        </w:rPr>
        <w:t xml:space="preserve"> </w:t>
      </w:r>
      <w:r w:rsidR="001F0002">
        <w:rPr>
          <w:color w:val="auto"/>
          <w:lang w:val="en-US"/>
        </w:rPr>
        <w:t>below</w:t>
      </w:r>
      <w:r w:rsidR="00A26BD5">
        <w:rPr>
          <w:color w:val="auto"/>
          <w:lang w:val="en-US"/>
        </w:rPr>
        <w:t xml:space="preserve"> </w:t>
      </w:r>
      <m:oMath>
        <m:r>
          <w:rPr>
            <w:rFonts w:ascii="Cambria Math" w:hAnsi="Cambria Math"/>
            <w:color w:val="auto"/>
            <w:lang w:val="en-US"/>
          </w:rPr>
          <m:t>2.0-3.0⋅</m:t>
        </m:r>
        <m:sSup>
          <m:sSupPr>
            <m:ctrlPr>
              <w:rPr>
                <w:rFonts w:ascii="Cambria Math" w:hAnsi="Cambria Math"/>
                <w:i/>
                <w:color w:val="auto"/>
                <w:lang w:val="en-US"/>
              </w:rPr>
            </m:ctrlPr>
          </m:sSupPr>
          <m:e>
            <m:r>
              <w:rPr>
                <w:rFonts w:ascii="Cambria Math" w:hAnsi="Cambria Math"/>
                <w:color w:val="auto"/>
                <w:lang w:val="en-US"/>
              </w:rPr>
              <m:t>10</m:t>
            </m:r>
          </m:e>
          <m:sup>
            <m:r>
              <w:rPr>
                <w:rFonts w:ascii="Cambria Math" w:hAnsi="Cambria Math"/>
                <w:color w:val="auto"/>
                <w:lang w:val="en-US"/>
              </w:rPr>
              <m:t>19</m:t>
            </m:r>
          </m:sup>
        </m:sSup>
        <m:r>
          <w:rPr>
            <w:rFonts w:ascii="Cambria Math" w:hAnsi="Cambria Math"/>
            <w:color w:val="auto"/>
            <w:lang w:val="en-US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color w:val="auto"/>
                <w:lang w:val="en-US"/>
              </w:rPr>
            </m:ctrlPr>
          </m:sSupPr>
          <m:e>
            <m:r>
              <w:rPr>
                <w:rFonts w:ascii="Cambria Math" w:hAnsi="Cambria Math"/>
                <w:color w:val="auto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color w:val="auto"/>
                <w:lang w:val="en-US"/>
              </w:rPr>
              <m:t>-2</m:t>
            </m:r>
          </m:sup>
        </m:sSup>
      </m:oMath>
      <w:r w:rsidR="00EF0A16" w:rsidRPr="00A26BD5">
        <w:rPr>
          <w:color w:val="auto"/>
          <w:lang w:val="en-US"/>
        </w:rPr>
        <w:t xml:space="preserve"> </w:t>
      </w:r>
      <w:r w:rsidR="00EF0A16">
        <w:rPr>
          <w:lang w:val="en-US"/>
        </w:rPr>
        <w:t>in the central interferometer chord</w:t>
      </w:r>
      <w:r w:rsidR="00197CDB">
        <w:rPr>
          <w:lang w:val="en-US"/>
        </w:rPr>
        <w:t>, depending on the plasma shape</w:t>
      </w:r>
      <w:r w:rsidR="00C743E0">
        <w:rPr>
          <w:lang w:val="en-US"/>
        </w:rPr>
        <w:t xml:space="preserve">. </w:t>
      </w:r>
      <w:r w:rsidR="0005040F">
        <w:rPr>
          <w:lang w:val="en-US"/>
        </w:rPr>
        <w:t xml:space="preserve">The toroidal </w:t>
      </w:r>
      <w:r w:rsidR="00BD49DB">
        <w:rPr>
          <w:lang w:val="en-US"/>
        </w:rPr>
        <w:t>orientation (</w:t>
      </w:r>
      <m:oMath>
        <m:r>
          <w:rPr>
            <w:rFonts w:ascii="Cambria Math" w:hAnsi="Cambria Math"/>
            <w:lang w:val="en-US"/>
          </w:rPr>
          <m:t>β</m:t>
        </m:r>
      </m:oMath>
      <w:r w:rsidR="00BD49DB">
        <w:rPr>
          <w:lang w:val="en-US"/>
        </w:rPr>
        <w:t>)</w:t>
      </w:r>
      <w:r w:rsidR="0005040F">
        <w:rPr>
          <w:lang w:val="en-US"/>
        </w:rPr>
        <w:t xml:space="preserve"> of the beam is found to be critical</w:t>
      </w:r>
      <w:r w:rsidR="00BD49DB">
        <w:rPr>
          <w:lang w:val="en-US"/>
        </w:rPr>
        <w:t>. S</w:t>
      </w:r>
      <w:r w:rsidR="0005040F">
        <w:rPr>
          <w:lang w:val="en-US"/>
        </w:rPr>
        <w:t xml:space="preserve">ignals have been </w:t>
      </w:r>
      <w:r w:rsidR="00747D13">
        <w:rPr>
          <w:lang w:val="en-US"/>
        </w:rPr>
        <w:t>obtained</w:t>
      </w:r>
      <w:r w:rsidR="0005040F">
        <w:rPr>
          <w:lang w:val="en-US"/>
        </w:rPr>
        <w:t xml:space="preserve"> </w:t>
      </w:r>
      <w:r w:rsidR="00B43690">
        <w:rPr>
          <w:lang w:val="en-US"/>
        </w:rPr>
        <w:t>only in the ran</w:t>
      </w:r>
      <w:r w:rsidR="00B43690" w:rsidRPr="008C6681">
        <w:rPr>
          <w:color w:val="auto"/>
          <w:lang w:val="en-US"/>
        </w:rPr>
        <w:t>ge of</w:t>
      </w:r>
      <w:r w:rsidR="0005040F" w:rsidRPr="008C6681">
        <w:rPr>
          <w:color w:val="auto"/>
          <w:lang w:val="en-US"/>
        </w:rPr>
        <w:t xml:space="preserve"> </w:t>
      </w:r>
      <m:oMath>
        <m:r>
          <w:rPr>
            <w:rFonts w:ascii="Cambria Math" w:hAnsi="Cambria Math"/>
            <w:color w:val="auto"/>
            <w:lang w:val="en-US"/>
          </w:rPr>
          <m:t>β=4.00-</m:t>
        </m:r>
        <m:sSup>
          <m:sSupPr>
            <m:ctrlPr>
              <w:rPr>
                <w:rFonts w:ascii="Cambria Math" w:hAnsi="Cambria Math"/>
                <w:i/>
                <w:color w:val="auto"/>
                <w:lang w:val="en-US"/>
              </w:rPr>
            </m:ctrlPr>
          </m:sSupPr>
          <m:e>
            <m:r>
              <w:rPr>
                <w:rFonts w:ascii="Cambria Math" w:hAnsi="Cambria Math"/>
                <w:color w:val="auto"/>
                <w:lang w:val="en-US"/>
              </w:rPr>
              <m:t>4.66</m:t>
            </m:r>
          </m:e>
          <m:sup>
            <m:r>
              <w:rPr>
                <w:rFonts w:ascii="Cambria Math" w:hAnsi="Cambria Math"/>
                <w:color w:val="auto"/>
                <w:lang w:val="en-US"/>
              </w:rPr>
              <m:t>o</m:t>
            </m:r>
          </m:sup>
        </m:sSup>
      </m:oMath>
      <w:r w:rsidR="0005040F">
        <w:rPr>
          <w:lang w:val="en-US"/>
        </w:rPr>
        <w:t xml:space="preserve">. </w:t>
      </w:r>
      <w:r w:rsidR="005E0821">
        <w:rPr>
          <w:lang w:val="en-US"/>
        </w:rPr>
        <w:t xml:space="preserve">It is </w:t>
      </w:r>
      <w:r w:rsidR="00B62AD4">
        <w:rPr>
          <w:lang w:val="en-US"/>
        </w:rPr>
        <w:t>observed</w:t>
      </w:r>
      <w:r w:rsidR="005E0821">
        <w:rPr>
          <w:lang w:val="en-US"/>
        </w:rPr>
        <w:t xml:space="preserve"> that </w:t>
      </w:r>
      <w:r w:rsidR="001C67EE">
        <w:rPr>
          <w:lang w:val="en-US"/>
        </w:rPr>
        <w:t>stray light from the plasma</w:t>
      </w:r>
      <w:r w:rsidR="008728D4">
        <w:rPr>
          <w:lang w:val="en-US"/>
        </w:rPr>
        <w:t xml:space="preserve">, </w:t>
      </w:r>
      <w:r w:rsidR="00B62AD4">
        <w:rPr>
          <w:lang w:val="en-US"/>
        </w:rPr>
        <w:t xml:space="preserve">as that </w:t>
      </w:r>
      <w:r w:rsidR="008728D4">
        <w:rPr>
          <w:lang w:val="en-US"/>
        </w:rPr>
        <w:t>provoked by edge localized modes,</w:t>
      </w:r>
      <w:r w:rsidR="001C67EE">
        <w:rPr>
          <w:lang w:val="en-US"/>
        </w:rPr>
        <w:t xml:space="preserve"> </w:t>
      </w:r>
      <w:r w:rsidR="00B62AD4">
        <w:rPr>
          <w:lang w:val="en-US"/>
        </w:rPr>
        <w:t xml:space="preserve">can </w:t>
      </w:r>
      <w:r w:rsidR="000E4A1C">
        <w:rPr>
          <w:lang w:val="en-US"/>
        </w:rPr>
        <w:t>mask</w:t>
      </w:r>
      <w:r w:rsidR="00B62AD4">
        <w:rPr>
          <w:lang w:val="en-US"/>
        </w:rPr>
        <w:t xml:space="preserve"> the beam signal</w:t>
      </w:r>
      <w:r w:rsidR="004456DB">
        <w:rPr>
          <w:lang w:val="en-US"/>
        </w:rPr>
        <w:t xml:space="preserve"> in the scintillator</w:t>
      </w:r>
      <w:r w:rsidR="00CB6226">
        <w:rPr>
          <w:lang w:val="en-US"/>
        </w:rPr>
        <w:t xml:space="preserve"> detector</w:t>
      </w:r>
      <w:r w:rsidR="004456DB">
        <w:rPr>
          <w:lang w:val="en-US"/>
        </w:rPr>
        <w:t xml:space="preserve">. </w:t>
      </w:r>
      <w:r w:rsidR="003113E0">
        <w:rPr>
          <w:lang w:val="en-US"/>
        </w:rPr>
        <w:t>To alleviate this problem</w:t>
      </w:r>
      <w:r w:rsidR="004456DB">
        <w:rPr>
          <w:lang w:val="en-US"/>
        </w:rPr>
        <w:t>, a filter</w:t>
      </w:r>
      <w:r w:rsidR="005A737A">
        <w:rPr>
          <w:lang w:val="en-US"/>
        </w:rPr>
        <w:t xml:space="preserve"> </w:t>
      </w:r>
      <w:r w:rsidR="004456DB">
        <w:rPr>
          <w:lang w:val="en-US"/>
        </w:rPr>
        <w:t>centered</w:t>
      </w:r>
      <w:r w:rsidR="005A737A">
        <w:rPr>
          <w:lang w:val="en-US"/>
        </w:rPr>
        <w:t xml:space="preserve"> at the scintillator wavelength emission</w:t>
      </w:r>
      <w:r w:rsidR="00ED2292">
        <w:rPr>
          <w:lang w:val="en-US"/>
        </w:rPr>
        <w:t xml:space="preserve"> </w:t>
      </w:r>
      <w:r w:rsidR="00ED2292" w:rsidRPr="00A07C83">
        <w:rPr>
          <w:color w:val="000000" w:themeColor="text1"/>
          <w:lang w:val="en-US"/>
        </w:rPr>
        <w:t>(</w:t>
      </w:r>
      <w:r w:rsidR="00D14452" w:rsidRPr="00A07C83">
        <w:rPr>
          <w:color w:val="000000" w:themeColor="text1"/>
          <w:lang w:val="en-US"/>
        </w:rPr>
        <w:t>500</w:t>
      </w:r>
      <w:r w:rsidR="00ED2292" w:rsidRPr="00A07C83">
        <w:rPr>
          <w:color w:val="000000" w:themeColor="text1"/>
          <w:lang w:val="en-US"/>
        </w:rPr>
        <w:t>-</w:t>
      </w:r>
      <w:r w:rsidR="00D14452" w:rsidRPr="00A07C83">
        <w:rPr>
          <w:color w:val="000000" w:themeColor="text1"/>
          <w:lang w:val="en-US"/>
        </w:rPr>
        <w:t>580</w:t>
      </w:r>
      <w:r w:rsidR="00ED2292" w:rsidRPr="00A07C83">
        <w:rPr>
          <w:color w:val="000000" w:themeColor="text1"/>
          <w:lang w:val="en-US"/>
        </w:rPr>
        <w:t xml:space="preserve"> nm)</w:t>
      </w:r>
      <w:r w:rsidR="005A737A" w:rsidRPr="00A07C83">
        <w:rPr>
          <w:color w:val="000000" w:themeColor="text1"/>
          <w:lang w:val="en-US"/>
        </w:rPr>
        <w:t xml:space="preserve"> </w:t>
      </w:r>
      <w:r w:rsidR="005A737A">
        <w:rPr>
          <w:lang w:val="en-US"/>
        </w:rPr>
        <w:t>is included in the optical setup.</w:t>
      </w:r>
      <w:r w:rsidR="001C6E87">
        <w:rPr>
          <w:lang w:val="en-US"/>
        </w:rPr>
        <w:t xml:space="preserve"> </w:t>
      </w:r>
      <w:r w:rsidR="00104697">
        <w:rPr>
          <w:lang w:val="en-US"/>
        </w:rPr>
        <w:t xml:space="preserve">The signal-to-noise ratio is observed to degrade </w:t>
      </w:r>
      <w:r w:rsidR="00D5596B">
        <w:rPr>
          <w:lang w:val="en-US"/>
        </w:rPr>
        <w:t>during the campaign due to the impact of neutron fluence on the transmissivity of the image guide</w:t>
      </w:r>
      <w:r w:rsidR="0040305F">
        <w:rPr>
          <w:lang w:val="en-US"/>
        </w:rPr>
        <w:t xml:space="preserve">. This is partially healed by exposing the image guide to heating cycles up </w:t>
      </w:r>
      <w:r w:rsidR="0040305F" w:rsidRPr="00E72159">
        <w:rPr>
          <w:color w:val="auto"/>
          <w:lang w:val="en-US"/>
        </w:rPr>
        <w:t xml:space="preserve">to </w:t>
      </w:r>
      <w:r w:rsidR="004340CB" w:rsidRPr="00E72159">
        <w:rPr>
          <w:color w:val="auto"/>
          <w:lang w:val="en-US"/>
        </w:rPr>
        <w:t>220</w:t>
      </w:r>
      <w:r w:rsidR="0040305F" w:rsidRPr="00E72159">
        <w:rPr>
          <w:color w:val="auto"/>
          <w:lang w:val="en-US"/>
        </w:rPr>
        <w:t xml:space="preserve"> </w:t>
      </w:r>
      <w:r w:rsidR="004340CB" w:rsidRPr="00E72159">
        <w:rPr>
          <w:color w:val="auto"/>
          <w:lang w:val="en-US"/>
        </w:rPr>
        <w:t>ºC</w:t>
      </w:r>
      <w:r w:rsidR="0040305F" w:rsidRPr="00E72159">
        <w:rPr>
          <w:color w:val="auto"/>
          <w:lang w:val="en-US"/>
        </w:rPr>
        <w:t>.</w:t>
      </w:r>
      <w:r w:rsidR="00A7048A" w:rsidRPr="00E72159">
        <w:rPr>
          <w:color w:val="auto"/>
          <w:lang w:val="en-US"/>
        </w:rPr>
        <w:t xml:space="preserve"> </w:t>
      </w:r>
      <w:r w:rsidR="00EB6179">
        <w:rPr>
          <w:lang w:val="en-US"/>
        </w:rPr>
        <w:t xml:space="preserve">The typical pattern observed in the scintillator </w:t>
      </w:r>
      <w:r w:rsidR="00E80D0A">
        <w:rPr>
          <w:lang w:val="en-US"/>
        </w:rPr>
        <w:t xml:space="preserve">detector </w:t>
      </w:r>
      <w:r w:rsidR="00EB6179">
        <w:rPr>
          <w:lang w:val="en-US"/>
        </w:rPr>
        <w:t xml:space="preserve">consists of a strike-line </w:t>
      </w:r>
      <w:r w:rsidR="00EB6179" w:rsidRPr="00E72159">
        <w:rPr>
          <w:color w:val="auto"/>
          <w:lang w:val="en-US"/>
        </w:rPr>
        <w:t xml:space="preserve">of </w:t>
      </w:r>
      <w:r w:rsidR="00EB3E74" w:rsidRPr="00E72159">
        <w:rPr>
          <w:color w:val="auto"/>
          <w:lang w:val="en-US"/>
        </w:rPr>
        <w:t>30</w:t>
      </w:r>
      <w:r w:rsidR="00EB6179" w:rsidRPr="00E72159">
        <w:rPr>
          <w:color w:val="auto"/>
          <w:lang w:val="en-US"/>
        </w:rPr>
        <w:t xml:space="preserve"> mm width</w:t>
      </w:r>
      <w:r w:rsidR="00EB6179">
        <w:rPr>
          <w:lang w:val="en-US"/>
        </w:rPr>
        <w:t xml:space="preserve">. The strike-line </w:t>
      </w:r>
      <w:r w:rsidR="00EB6179" w:rsidRPr="008C6681">
        <w:rPr>
          <w:color w:val="auto"/>
          <w:lang w:val="en-US"/>
        </w:rPr>
        <w:t xml:space="preserve">moves as expected when </w:t>
      </w:r>
      <w:r w:rsidR="00EB6179">
        <w:rPr>
          <w:lang w:val="en-US"/>
        </w:rPr>
        <w:t xml:space="preserve">either </w:t>
      </w:r>
      <w:proofErr w:type="spellStart"/>
      <w:r w:rsidR="00EB6179">
        <w:rPr>
          <w:lang w:val="en-US"/>
        </w:rPr>
        <w:t>Bt</w:t>
      </w:r>
      <w:proofErr w:type="spellEnd"/>
      <w:r w:rsidR="00EB6179">
        <w:rPr>
          <w:lang w:val="en-US"/>
        </w:rPr>
        <w:t xml:space="preserve"> or Ip are ramped, as well as when the beam is deflected.</w:t>
      </w:r>
      <w:r w:rsidR="0005040F">
        <w:rPr>
          <w:lang w:val="en-US"/>
        </w:rPr>
        <w:t xml:space="preserve"> </w:t>
      </w:r>
      <w:r w:rsidR="004706B0">
        <w:rPr>
          <w:lang w:val="en-US"/>
        </w:rPr>
        <w:t>Additionally</w:t>
      </w:r>
      <w:r w:rsidR="00AF0FBB">
        <w:rPr>
          <w:lang w:val="en-US"/>
        </w:rPr>
        <w:t xml:space="preserve">, clear dynamics in the intensity of the strike-line are </w:t>
      </w:r>
      <w:r w:rsidR="008A6CA4">
        <w:rPr>
          <w:lang w:val="en-US"/>
        </w:rPr>
        <w:t xml:space="preserve">often </w:t>
      </w:r>
      <w:r w:rsidR="00AF0FBB">
        <w:rPr>
          <w:lang w:val="en-US"/>
        </w:rPr>
        <w:t xml:space="preserve">observed, which </w:t>
      </w:r>
      <w:r w:rsidR="00660096">
        <w:rPr>
          <w:lang w:val="en-US"/>
        </w:rPr>
        <w:t>might</w:t>
      </w:r>
      <w:r w:rsidR="00AF0FBB">
        <w:rPr>
          <w:lang w:val="en-US"/>
        </w:rPr>
        <w:t xml:space="preserve"> be linked to </w:t>
      </w:r>
      <w:r w:rsidR="008A6CA4">
        <w:rPr>
          <w:lang w:val="en-US"/>
        </w:rPr>
        <w:t>filamentary activity in the plasma edge.</w:t>
      </w:r>
      <w:r w:rsidR="003113E0">
        <w:rPr>
          <w:lang w:val="en-US"/>
        </w:rPr>
        <w:t xml:space="preserve"> </w:t>
      </w:r>
      <w:r w:rsidR="00D9118D">
        <w:rPr>
          <w:lang w:val="en-US"/>
        </w:rPr>
        <w:t>Finally, s</w:t>
      </w:r>
      <w:r w:rsidR="00560841">
        <w:rPr>
          <w:lang w:val="en-US"/>
        </w:rPr>
        <w:t>imulations have been carried out to investigate the sensitivity of the expected signals to plasma density and temperature. The results are in qualitative agreement with the experimental observations</w:t>
      </w:r>
      <w:r w:rsidR="00104697">
        <w:rPr>
          <w:lang w:val="en-US"/>
        </w:rPr>
        <w:t xml:space="preserve">, </w:t>
      </w:r>
      <w:r w:rsidR="00214545">
        <w:rPr>
          <w:lang w:val="en-US"/>
        </w:rPr>
        <w:t>suggesting that</w:t>
      </w:r>
      <w:r w:rsidR="00104697">
        <w:rPr>
          <w:lang w:val="en-US"/>
        </w:rPr>
        <w:t xml:space="preserve"> </w:t>
      </w:r>
      <w:r w:rsidR="00EB6179">
        <w:rPr>
          <w:lang w:val="en-US"/>
        </w:rPr>
        <w:t xml:space="preserve">the diagnostic is </w:t>
      </w:r>
      <w:r w:rsidR="002076E5">
        <w:rPr>
          <w:lang w:val="en-US"/>
        </w:rPr>
        <w:t xml:space="preserve">almost </w:t>
      </w:r>
      <w:r w:rsidR="00AB4472">
        <w:rPr>
          <w:lang w:val="en-US"/>
        </w:rPr>
        <w:t>in</w:t>
      </w:r>
      <w:r w:rsidR="002076E5">
        <w:rPr>
          <w:lang w:val="en-US"/>
        </w:rPr>
        <w:t xml:space="preserve">sensitive to </w:t>
      </w:r>
      <w:r w:rsidR="00E8173F">
        <w:rPr>
          <w:lang w:val="en-US"/>
        </w:rPr>
        <w:t>fluctuations in the temperature profile, while the signal level is highly determined by the density profile</w:t>
      </w:r>
      <w:r w:rsidR="00CE2FE9">
        <w:rPr>
          <w:lang w:val="en-US"/>
        </w:rPr>
        <w:t xml:space="preserve"> due to the beam attenuation.</w:t>
      </w:r>
    </w:p>
    <w:p w14:paraId="6C78E472" w14:textId="77777777" w:rsidR="005A406C" w:rsidRDefault="005A406C" w:rsidP="007C1473">
      <w:pPr>
        <w:pStyle w:val="Default"/>
        <w:jc w:val="both"/>
        <w:rPr>
          <w:lang w:val="en-US"/>
        </w:rPr>
      </w:pPr>
    </w:p>
    <w:p w14:paraId="4FEADBC6" w14:textId="2EF438D0" w:rsidR="00172F51" w:rsidRPr="005C5C48" w:rsidRDefault="0061759D" w:rsidP="007C1473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es-ES"/>
        </w:rPr>
      </w:pPr>
      <w:r w:rsidRPr="005C5C48">
        <w:rPr>
          <w:rFonts w:ascii="Times New Roman" w:hAnsi="Times New Roman"/>
          <w:i/>
          <w:iCs/>
          <w:sz w:val="24"/>
          <w:szCs w:val="24"/>
          <w:lang w:val="es-ES"/>
        </w:rPr>
        <w:t>[1]</w:t>
      </w:r>
      <w:r w:rsidR="003E1181" w:rsidRPr="005C5C48">
        <w:rPr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spellStart"/>
      <w:proofErr w:type="gramStart"/>
      <w:r w:rsidR="003E1181" w:rsidRPr="005C5C48">
        <w:rPr>
          <w:rFonts w:ascii="Times New Roman" w:hAnsi="Times New Roman"/>
          <w:i/>
          <w:iCs/>
          <w:sz w:val="24"/>
          <w:szCs w:val="24"/>
          <w:lang w:val="es-ES"/>
        </w:rPr>
        <w:t>J.Galdon</w:t>
      </w:r>
      <w:proofErr w:type="spellEnd"/>
      <w:proofErr w:type="gramEnd"/>
      <w:r w:rsidR="003E1181" w:rsidRPr="005C5C48">
        <w:rPr>
          <w:rFonts w:ascii="Times New Roman" w:hAnsi="Times New Roman"/>
          <w:i/>
          <w:iCs/>
          <w:sz w:val="24"/>
          <w:szCs w:val="24"/>
          <w:lang w:val="es-ES"/>
        </w:rPr>
        <w:t>-Quiroga et al., J</w:t>
      </w:r>
      <w:r w:rsidR="00616EA8" w:rsidRPr="005C5C48">
        <w:rPr>
          <w:rFonts w:ascii="Times New Roman" w:hAnsi="Times New Roman"/>
          <w:i/>
          <w:iCs/>
          <w:sz w:val="24"/>
          <w:szCs w:val="24"/>
          <w:lang w:val="es-ES"/>
        </w:rPr>
        <w:t xml:space="preserve">INST </w:t>
      </w:r>
      <w:r w:rsidR="00616EA8" w:rsidRPr="005C5C48">
        <w:rPr>
          <w:rFonts w:ascii="Times New Roman" w:hAnsi="Times New Roman"/>
          <w:b/>
          <w:bCs/>
          <w:i/>
          <w:iCs/>
          <w:sz w:val="24"/>
          <w:szCs w:val="24"/>
          <w:lang w:val="es-ES"/>
        </w:rPr>
        <w:t>12</w:t>
      </w:r>
      <w:r w:rsidR="00616EA8" w:rsidRPr="005C5C48">
        <w:rPr>
          <w:rFonts w:ascii="Times New Roman" w:hAnsi="Times New Roman"/>
          <w:i/>
          <w:iCs/>
          <w:sz w:val="24"/>
          <w:szCs w:val="24"/>
          <w:lang w:val="es-ES"/>
        </w:rPr>
        <w:t xml:space="preserve"> C08023 (2017)</w:t>
      </w:r>
    </w:p>
    <w:p w14:paraId="594E2F3B" w14:textId="238AD965" w:rsidR="003E1181" w:rsidRPr="005C5C48" w:rsidRDefault="003E1181" w:rsidP="007C1473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5C5C48">
        <w:rPr>
          <w:rFonts w:ascii="Times New Roman" w:hAnsi="Times New Roman"/>
          <w:i/>
          <w:iCs/>
          <w:sz w:val="24"/>
          <w:szCs w:val="24"/>
          <w:lang w:val="en-US"/>
        </w:rPr>
        <w:t>[2]</w:t>
      </w:r>
      <w:r w:rsidR="00616EA8" w:rsidRPr="005C5C48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="00616EA8" w:rsidRPr="005C5C48">
        <w:rPr>
          <w:rFonts w:ascii="Times New Roman" w:hAnsi="Times New Roman"/>
          <w:i/>
          <w:iCs/>
          <w:sz w:val="24"/>
          <w:szCs w:val="24"/>
          <w:lang w:val="en-US"/>
        </w:rPr>
        <w:t>G.Birkenmeier</w:t>
      </w:r>
      <w:proofErr w:type="spellEnd"/>
      <w:proofErr w:type="gramEnd"/>
      <w:r w:rsidR="00616EA8" w:rsidRPr="005C5C48">
        <w:rPr>
          <w:rFonts w:ascii="Times New Roman" w:hAnsi="Times New Roman"/>
          <w:i/>
          <w:iCs/>
          <w:sz w:val="24"/>
          <w:szCs w:val="24"/>
          <w:lang w:val="en-US"/>
        </w:rPr>
        <w:t xml:space="preserve"> et al., </w:t>
      </w:r>
      <w:r w:rsidR="00577D45" w:rsidRPr="005C5C48">
        <w:rPr>
          <w:rFonts w:ascii="Times New Roman" w:hAnsi="Times New Roman"/>
          <w:i/>
          <w:iCs/>
          <w:sz w:val="24"/>
          <w:szCs w:val="24"/>
          <w:lang w:val="en-US"/>
        </w:rPr>
        <w:t xml:space="preserve">JINST </w:t>
      </w:r>
      <w:r w:rsidR="00577D45" w:rsidRPr="005C5C48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14</w:t>
      </w:r>
      <w:r w:rsidR="00577D45" w:rsidRPr="005C5C48">
        <w:rPr>
          <w:rFonts w:ascii="Times New Roman" w:hAnsi="Times New Roman"/>
          <w:i/>
          <w:iCs/>
          <w:sz w:val="24"/>
          <w:szCs w:val="24"/>
          <w:lang w:val="en-US"/>
        </w:rPr>
        <w:t xml:space="preserve"> C10030 (2019)</w:t>
      </w:r>
    </w:p>
    <w:p w14:paraId="38E707C1" w14:textId="2D8E88B4" w:rsidR="003E1181" w:rsidRPr="005C5C48" w:rsidRDefault="003E1181" w:rsidP="007C1473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5C5C48">
        <w:rPr>
          <w:rFonts w:ascii="Times New Roman" w:hAnsi="Times New Roman"/>
          <w:i/>
          <w:iCs/>
          <w:sz w:val="24"/>
          <w:szCs w:val="24"/>
          <w:lang w:val="en-US"/>
        </w:rPr>
        <w:t>[3]</w:t>
      </w:r>
      <w:r w:rsidR="00577D45" w:rsidRPr="005C5C48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="00577D45" w:rsidRPr="005C5C48">
        <w:rPr>
          <w:rFonts w:ascii="Times New Roman" w:hAnsi="Times New Roman"/>
          <w:i/>
          <w:iCs/>
          <w:sz w:val="24"/>
          <w:szCs w:val="24"/>
          <w:lang w:val="en-US"/>
        </w:rPr>
        <w:t>G.Birkenmeier</w:t>
      </w:r>
      <w:proofErr w:type="spellEnd"/>
      <w:proofErr w:type="gramEnd"/>
      <w:r w:rsidR="00577D45" w:rsidRPr="005C5C48">
        <w:rPr>
          <w:rFonts w:ascii="Times New Roman" w:hAnsi="Times New Roman"/>
          <w:i/>
          <w:iCs/>
          <w:sz w:val="24"/>
          <w:szCs w:val="24"/>
          <w:lang w:val="en-US"/>
        </w:rPr>
        <w:t xml:space="preserve"> et al., </w:t>
      </w:r>
      <w:r w:rsidR="005C5C48" w:rsidRPr="005C5C48">
        <w:rPr>
          <w:rFonts w:ascii="Times New Roman" w:hAnsi="Times New Roman"/>
          <w:i/>
          <w:iCs/>
          <w:sz w:val="24"/>
          <w:szCs w:val="24"/>
          <w:lang w:val="en-US"/>
        </w:rPr>
        <w:t xml:space="preserve">FED </w:t>
      </w:r>
      <w:r w:rsidR="005C5C48" w:rsidRPr="005C5C48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168</w:t>
      </w:r>
      <w:r w:rsidR="005C5C48" w:rsidRPr="005C5C48">
        <w:rPr>
          <w:rFonts w:ascii="Times New Roman" w:hAnsi="Times New Roman"/>
          <w:i/>
          <w:iCs/>
          <w:sz w:val="24"/>
          <w:szCs w:val="24"/>
          <w:lang w:val="en-US"/>
        </w:rPr>
        <w:t xml:space="preserve"> 112644 (2021)</w:t>
      </w:r>
    </w:p>
    <w:p w14:paraId="7455D64D" w14:textId="77777777" w:rsidR="0061759D" w:rsidRPr="00577D45" w:rsidRDefault="0061759D" w:rsidP="007C147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521EF359" w14:textId="77777777" w:rsidR="00172F51" w:rsidRPr="00172F51" w:rsidRDefault="00172F51" w:rsidP="007C1473">
      <w:pPr>
        <w:spacing w:after="0" w:line="240" w:lineRule="auto"/>
        <w:rPr>
          <w:lang w:val="en-US"/>
        </w:rPr>
      </w:pPr>
    </w:p>
    <w:sectPr w:rsidR="00172F51" w:rsidRPr="00172F51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F51"/>
    <w:rsid w:val="00012D41"/>
    <w:rsid w:val="0001746F"/>
    <w:rsid w:val="00030BF2"/>
    <w:rsid w:val="0005040F"/>
    <w:rsid w:val="00055C2D"/>
    <w:rsid w:val="00066932"/>
    <w:rsid w:val="0007701F"/>
    <w:rsid w:val="000A1845"/>
    <w:rsid w:val="000A7756"/>
    <w:rsid w:val="000E4A1C"/>
    <w:rsid w:val="00103E11"/>
    <w:rsid w:val="00104697"/>
    <w:rsid w:val="00112842"/>
    <w:rsid w:val="00120493"/>
    <w:rsid w:val="001249DA"/>
    <w:rsid w:val="00127F25"/>
    <w:rsid w:val="001334EA"/>
    <w:rsid w:val="00172F51"/>
    <w:rsid w:val="00194CE7"/>
    <w:rsid w:val="00197CDB"/>
    <w:rsid w:val="001C410C"/>
    <w:rsid w:val="001C67EE"/>
    <w:rsid w:val="001C6E87"/>
    <w:rsid w:val="001F0002"/>
    <w:rsid w:val="001F4BB1"/>
    <w:rsid w:val="002076E5"/>
    <w:rsid w:val="00214545"/>
    <w:rsid w:val="0023679D"/>
    <w:rsid w:val="0023695E"/>
    <w:rsid w:val="002613C6"/>
    <w:rsid w:val="002662D3"/>
    <w:rsid w:val="00270860"/>
    <w:rsid w:val="002A0132"/>
    <w:rsid w:val="002B1B1E"/>
    <w:rsid w:val="003113E0"/>
    <w:rsid w:val="00320FF3"/>
    <w:rsid w:val="003937A2"/>
    <w:rsid w:val="00394BC5"/>
    <w:rsid w:val="003A047A"/>
    <w:rsid w:val="003A245B"/>
    <w:rsid w:val="003E1181"/>
    <w:rsid w:val="0040305F"/>
    <w:rsid w:val="00433C21"/>
    <w:rsid w:val="004340CB"/>
    <w:rsid w:val="004456DB"/>
    <w:rsid w:val="00455D00"/>
    <w:rsid w:val="00464DD2"/>
    <w:rsid w:val="004706B0"/>
    <w:rsid w:val="0047107B"/>
    <w:rsid w:val="004739F3"/>
    <w:rsid w:val="00485A5F"/>
    <w:rsid w:val="00491B3A"/>
    <w:rsid w:val="004B0F19"/>
    <w:rsid w:val="004B5635"/>
    <w:rsid w:val="004B6517"/>
    <w:rsid w:val="004B6ECA"/>
    <w:rsid w:val="004C65BC"/>
    <w:rsid w:val="004E0655"/>
    <w:rsid w:val="00504262"/>
    <w:rsid w:val="00560841"/>
    <w:rsid w:val="00574ABC"/>
    <w:rsid w:val="00577D45"/>
    <w:rsid w:val="005A406C"/>
    <w:rsid w:val="005A737A"/>
    <w:rsid w:val="005B2E78"/>
    <w:rsid w:val="005C0EC2"/>
    <w:rsid w:val="005C5C48"/>
    <w:rsid w:val="005C62C9"/>
    <w:rsid w:val="005E0821"/>
    <w:rsid w:val="005F4E66"/>
    <w:rsid w:val="00614B37"/>
    <w:rsid w:val="00616EA8"/>
    <w:rsid w:val="0061759D"/>
    <w:rsid w:val="00626272"/>
    <w:rsid w:val="00630C04"/>
    <w:rsid w:val="00635C21"/>
    <w:rsid w:val="00640A58"/>
    <w:rsid w:val="00660096"/>
    <w:rsid w:val="006871F5"/>
    <w:rsid w:val="006936CB"/>
    <w:rsid w:val="00704E97"/>
    <w:rsid w:val="00747D13"/>
    <w:rsid w:val="00796546"/>
    <w:rsid w:val="007C1473"/>
    <w:rsid w:val="007C5CD4"/>
    <w:rsid w:val="007D7522"/>
    <w:rsid w:val="007E4203"/>
    <w:rsid w:val="00801EFB"/>
    <w:rsid w:val="0082379B"/>
    <w:rsid w:val="00867729"/>
    <w:rsid w:val="008728D4"/>
    <w:rsid w:val="00876339"/>
    <w:rsid w:val="00894279"/>
    <w:rsid w:val="008A02C6"/>
    <w:rsid w:val="008A07E3"/>
    <w:rsid w:val="008A0A2C"/>
    <w:rsid w:val="008A6CA4"/>
    <w:rsid w:val="008B039E"/>
    <w:rsid w:val="008C6681"/>
    <w:rsid w:val="008D1CC0"/>
    <w:rsid w:val="008D7DD7"/>
    <w:rsid w:val="008E26FD"/>
    <w:rsid w:val="00910550"/>
    <w:rsid w:val="00937BE4"/>
    <w:rsid w:val="009442CF"/>
    <w:rsid w:val="009479AD"/>
    <w:rsid w:val="00951CFA"/>
    <w:rsid w:val="0095560D"/>
    <w:rsid w:val="009A3324"/>
    <w:rsid w:val="009B241E"/>
    <w:rsid w:val="009B7390"/>
    <w:rsid w:val="009D5B4E"/>
    <w:rsid w:val="009D70A6"/>
    <w:rsid w:val="009F6A53"/>
    <w:rsid w:val="00A0736C"/>
    <w:rsid w:val="00A07C83"/>
    <w:rsid w:val="00A26BD5"/>
    <w:rsid w:val="00A33B22"/>
    <w:rsid w:val="00A7048A"/>
    <w:rsid w:val="00AB4472"/>
    <w:rsid w:val="00AE752B"/>
    <w:rsid w:val="00AF0FBB"/>
    <w:rsid w:val="00B11B35"/>
    <w:rsid w:val="00B14154"/>
    <w:rsid w:val="00B31A64"/>
    <w:rsid w:val="00B40306"/>
    <w:rsid w:val="00B43690"/>
    <w:rsid w:val="00B62AD4"/>
    <w:rsid w:val="00B638F1"/>
    <w:rsid w:val="00B72403"/>
    <w:rsid w:val="00B72E42"/>
    <w:rsid w:val="00B863E0"/>
    <w:rsid w:val="00B87FA6"/>
    <w:rsid w:val="00BA4705"/>
    <w:rsid w:val="00BD49DB"/>
    <w:rsid w:val="00C0093A"/>
    <w:rsid w:val="00C5782D"/>
    <w:rsid w:val="00C66C2F"/>
    <w:rsid w:val="00C67C56"/>
    <w:rsid w:val="00C712CA"/>
    <w:rsid w:val="00C743E0"/>
    <w:rsid w:val="00C823EB"/>
    <w:rsid w:val="00C83651"/>
    <w:rsid w:val="00C87235"/>
    <w:rsid w:val="00C96FED"/>
    <w:rsid w:val="00CB13BB"/>
    <w:rsid w:val="00CB6226"/>
    <w:rsid w:val="00CC5C93"/>
    <w:rsid w:val="00CD2EEB"/>
    <w:rsid w:val="00CE2FE9"/>
    <w:rsid w:val="00D14452"/>
    <w:rsid w:val="00D5596B"/>
    <w:rsid w:val="00D63FA3"/>
    <w:rsid w:val="00D82158"/>
    <w:rsid w:val="00D85E94"/>
    <w:rsid w:val="00D9118D"/>
    <w:rsid w:val="00DC42A2"/>
    <w:rsid w:val="00DD52BD"/>
    <w:rsid w:val="00E16B73"/>
    <w:rsid w:val="00E227F4"/>
    <w:rsid w:val="00E31FB2"/>
    <w:rsid w:val="00E345EA"/>
    <w:rsid w:val="00E412FD"/>
    <w:rsid w:val="00E50186"/>
    <w:rsid w:val="00E72159"/>
    <w:rsid w:val="00E80D0A"/>
    <w:rsid w:val="00E8173F"/>
    <w:rsid w:val="00EA390B"/>
    <w:rsid w:val="00EB3E74"/>
    <w:rsid w:val="00EB6179"/>
    <w:rsid w:val="00EC1DEF"/>
    <w:rsid w:val="00EC6109"/>
    <w:rsid w:val="00EC67EA"/>
    <w:rsid w:val="00EC7511"/>
    <w:rsid w:val="00ED2292"/>
    <w:rsid w:val="00EF0A16"/>
    <w:rsid w:val="00EF4DF7"/>
    <w:rsid w:val="00F20162"/>
    <w:rsid w:val="00F36193"/>
    <w:rsid w:val="00F4070D"/>
    <w:rsid w:val="00F72386"/>
    <w:rsid w:val="00F724D4"/>
    <w:rsid w:val="00FA3A54"/>
    <w:rsid w:val="00FB75DC"/>
    <w:rsid w:val="00FD0DCC"/>
    <w:rsid w:val="00FD31BB"/>
    <w:rsid w:val="00FE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E87AF"/>
  <w15:docId w15:val="{96AF332B-ECA1-44E2-9C5C-D748DC47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Textodeglobo">
    <w:name w:val="Balloon Text"/>
    <w:basedOn w:val="Normal"/>
    <w:link w:val="TextodegloboC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A0132"/>
    <w:rPr>
      <w:rFonts w:ascii="Tahoma" w:hAnsi="Tahoma" w:cs="Tahoma"/>
      <w:sz w:val="16"/>
      <w:szCs w:val="16"/>
      <w:lang w:val="el-GR" w:eastAsia="el-GR"/>
    </w:rPr>
  </w:style>
  <w:style w:type="character" w:styleId="Textodelmarcadordeposicin">
    <w:name w:val="Placeholder Text"/>
    <w:basedOn w:val="Fuentedeprrafopredeter"/>
    <w:uiPriority w:val="99"/>
    <w:semiHidden/>
    <w:rsid w:val="007C5C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541</Words>
  <Characters>2979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JOAQUIN</cp:lastModifiedBy>
  <cp:revision>171</cp:revision>
  <dcterms:created xsi:type="dcterms:W3CDTF">2022-12-23T10:33:00Z</dcterms:created>
  <dcterms:modified xsi:type="dcterms:W3CDTF">2023-01-30T11:28:00Z</dcterms:modified>
</cp:coreProperties>
</file>