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B6" w:rsidRDefault="003E721F" w:rsidP="004B5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B546E">
        <w:rPr>
          <w:rFonts w:ascii="Times New Roman" w:hAnsi="Times New Roman" w:cs="Times New Roman"/>
          <w:b/>
          <w:sz w:val="28"/>
          <w:szCs w:val="28"/>
          <w:lang w:val="en-GB"/>
        </w:rPr>
        <w:t xml:space="preserve">Updates of Coherence Imaging Spectroscopy at </w:t>
      </w:r>
      <w:proofErr w:type="spellStart"/>
      <w:r w:rsidRPr="004B546E">
        <w:rPr>
          <w:rFonts w:ascii="Times New Roman" w:hAnsi="Times New Roman" w:cs="Times New Roman"/>
          <w:b/>
          <w:sz w:val="28"/>
          <w:szCs w:val="28"/>
          <w:lang w:val="en-GB"/>
        </w:rPr>
        <w:t>Wendestelstein</w:t>
      </w:r>
      <w:proofErr w:type="spellEnd"/>
      <w:r w:rsidRPr="004B546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7-X for scrape-off layer measurements</w:t>
      </w:r>
    </w:p>
    <w:p w:rsidR="004B546E" w:rsidRPr="004B546E" w:rsidRDefault="004B546E" w:rsidP="004B5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700D3" w:rsidRPr="004F60C5" w:rsidRDefault="003E721F" w:rsidP="004B546E">
      <w:pPr>
        <w:spacing w:after="0"/>
        <w:jc w:val="center"/>
        <w:rPr>
          <w:rFonts w:ascii="Times New Roman" w:hAnsi="Times New Roman" w:cs="Times New Roman"/>
          <w:i/>
          <w:lang w:val="en-US"/>
        </w:rPr>
      </w:pPr>
      <w:r w:rsidRPr="004B546E">
        <w:rPr>
          <w:rFonts w:ascii="Times New Roman" w:hAnsi="Times New Roman" w:cs="Times New Roman"/>
          <w:sz w:val="24"/>
          <w:szCs w:val="24"/>
          <w:lang w:val="en-US"/>
        </w:rPr>
        <w:t>V. Perseo</w:t>
      </w:r>
      <w:r w:rsidR="00F700D3" w:rsidRPr="004B54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>, D.M. Kriete</w:t>
      </w:r>
      <w:r w:rsidR="00F700D3" w:rsidRPr="004B54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B0E97" w:rsidRPr="004B546E">
        <w:rPr>
          <w:rFonts w:ascii="Times New Roman" w:hAnsi="Times New Roman" w:cs="Times New Roman"/>
          <w:sz w:val="24"/>
          <w:szCs w:val="24"/>
          <w:lang w:val="en-US"/>
        </w:rPr>
        <w:t>O.P. Ford</w:t>
      </w:r>
      <w:r w:rsidR="00DB0E97" w:rsidRPr="004B54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B0E97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="00887013" w:rsidRPr="004B546E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Ennis</w:t>
      </w:r>
      <w:r w:rsidR="00F700D3" w:rsidRPr="004B54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0D3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>D. Gradic</w:t>
      </w:r>
      <w:r w:rsidR="00F700D3" w:rsidRPr="004B54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>, R. König</w:t>
      </w:r>
      <w:r w:rsidR="00F700D3" w:rsidRPr="004B54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BFA">
        <w:rPr>
          <w:rFonts w:ascii="Times New Roman" w:hAnsi="Times New Roman" w:cs="Times New Roman"/>
          <w:sz w:val="24"/>
          <w:szCs w:val="24"/>
          <w:lang w:val="en-US"/>
        </w:rPr>
        <w:br/>
      </w:r>
      <w:r w:rsidR="00F700D3" w:rsidRPr="004B546E">
        <w:rPr>
          <w:rFonts w:ascii="Times New Roman" w:hAnsi="Times New Roman" w:cs="Times New Roman"/>
          <w:sz w:val="24"/>
          <w:szCs w:val="24"/>
          <w:lang w:val="en-US"/>
        </w:rPr>
        <w:t>and the W7-X team</w:t>
      </w:r>
      <w:r w:rsidR="00F700D3" w:rsidRPr="004B54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4B54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br/>
      </w:r>
      <w:r w:rsidR="00F700D3" w:rsidRPr="004F60C5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="00F700D3" w:rsidRPr="004F60C5">
        <w:rPr>
          <w:rFonts w:ascii="Times New Roman" w:hAnsi="Times New Roman" w:cs="Times New Roman"/>
          <w:i/>
          <w:lang w:val="en-US"/>
        </w:rPr>
        <w:t>Max Planck Institute for Plasma Physics, Greifswald, Germany</w:t>
      </w:r>
      <w:r w:rsidR="004B546E">
        <w:rPr>
          <w:rFonts w:ascii="Times New Roman" w:hAnsi="Times New Roman" w:cs="Times New Roman"/>
          <w:i/>
          <w:lang w:val="en-US"/>
        </w:rPr>
        <w:br/>
      </w:r>
      <w:r w:rsidR="00F700D3" w:rsidRPr="004F60C5">
        <w:rPr>
          <w:rFonts w:ascii="Times New Roman" w:hAnsi="Times New Roman" w:cs="Times New Roman"/>
          <w:i/>
          <w:vertAlign w:val="superscript"/>
          <w:lang w:val="en-US"/>
        </w:rPr>
        <w:t>2</w:t>
      </w:r>
      <w:r w:rsidR="00F700D3" w:rsidRPr="004F60C5">
        <w:rPr>
          <w:rFonts w:ascii="Times New Roman" w:hAnsi="Times New Roman" w:cs="Times New Roman"/>
          <w:i/>
          <w:lang w:val="en-US"/>
        </w:rPr>
        <w:t>Auburn University, Auburn, Alabama, USA</w:t>
      </w:r>
    </w:p>
    <w:p w:rsidR="00F700D3" w:rsidRDefault="00F700D3" w:rsidP="004B54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B546E" w:rsidRPr="004B546E" w:rsidRDefault="004B546E" w:rsidP="004B54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22E4" w:rsidRDefault="00DF0BA0" w:rsidP="00646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46E">
        <w:rPr>
          <w:rFonts w:ascii="Times New Roman" w:hAnsi="Times New Roman" w:cs="Times New Roman"/>
          <w:sz w:val="24"/>
          <w:szCs w:val="24"/>
          <w:lang w:val="en-US"/>
        </w:rPr>
        <w:t>Coherence Imaging Spectroscopy (CIS) is a camera-based polarization interferometer</w:t>
      </w:r>
      <w:r w:rsidR="00F6202E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122683573"/>
          <w:citation/>
        </w:sdtPr>
        <w:sdtEndPr/>
        <w:sdtContent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JHo10 \l 1033 </w:instrText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AA2B23" w:rsidRPr="004B546E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[1]</w:t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Pr="004B546E">
        <w:rPr>
          <w:rFonts w:ascii="Times New Roman" w:hAnsi="Times New Roman" w:cs="Times New Roman"/>
          <w:sz w:val="24"/>
          <w:szCs w:val="24"/>
          <w:lang w:val="en-US"/>
        </w:rPr>
        <w:t>. Given its capability of delivering 2D measurements of plasma parameters</w:t>
      </w:r>
      <w:r w:rsidR="00C02C99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with high spatial resolution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, it has proven itself suitable for studying the complex 3D scrape-off layer </w:t>
      </w:r>
      <w:r w:rsidR="00765A8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(SOL) 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>of the Wendelstein 7-X (W7-X)</w:t>
      </w:r>
      <w:r w:rsidR="005A7D37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stellarator</w:t>
      </w:r>
      <w:r w:rsidR="00F6202E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328203150"/>
          <w:citation/>
        </w:sdtPr>
        <w:sdtEndPr/>
        <w:sdtContent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VPe20 \l 1033 </w:instrText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AA2B23" w:rsidRPr="004B546E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[2]</w:t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925971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. The fusion experiment is equipped with two CIS systems, one featuring a broad overview of the SOL thanks to a toroidal field of view, the other focusing on one divertor module </w:t>
      </w:r>
      <w:r w:rsidR="00CE2F7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5971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overlapping </w:t>
      </w:r>
      <w:r w:rsidR="00765A8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04CE1" w:rsidRPr="004B546E">
        <w:rPr>
          <w:rFonts w:ascii="Times New Roman" w:hAnsi="Times New Roman" w:cs="Times New Roman"/>
          <w:sz w:val="24"/>
          <w:szCs w:val="24"/>
          <w:lang w:val="en-US"/>
        </w:rPr>
        <w:t>dispersive</w:t>
      </w:r>
      <w:r w:rsidR="00925971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spectroscopy lines of sight</w:t>
      </w:r>
      <w:r w:rsidRPr="004B546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22E4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After successful impurity flow measurements </w:t>
      </w:r>
      <w:r w:rsidR="00BE6006" w:rsidRPr="004B546E">
        <w:rPr>
          <w:rFonts w:ascii="Times New Roman" w:hAnsi="Times New Roman" w:cs="Times New Roman"/>
          <w:sz w:val="24"/>
          <w:szCs w:val="24"/>
          <w:lang w:val="en-US"/>
        </w:rPr>
        <w:t>acquired</w:t>
      </w:r>
      <w:r w:rsidR="003522E4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during the last operational campaign</w:t>
      </w:r>
      <w:r w:rsidR="003035C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(OP1.2b in 2018)</w:t>
      </w:r>
      <w:r w:rsidR="00F6202E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775323267"/>
          <w:citation/>
        </w:sdtPr>
        <w:sdtEndPr/>
        <w:sdtContent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VPe19 \l 1033 </w:instrText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AA2B23" w:rsidRPr="004B546E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[3]</w:t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509054209"/>
          <w:citation/>
        </w:sdtPr>
        <w:sdtEndPr/>
        <w:sdtContent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VPe211 \l 1033 </w:instrText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AA2B23" w:rsidRPr="004B546E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[4]</w:t>
          </w:r>
          <w:r w:rsidR="00F6202E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CE2F7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314792909"/>
          <w:citation/>
        </w:sdtPr>
        <w:sdtEndPr/>
        <w:sdtContent>
          <w:r w:rsidR="00CE2F7B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CE2F7B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DMK23 \l 1033 </w:instrText>
          </w:r>
          <w:r w:rsidR="00CE2F7B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AA2B23" w:rsidRPr="004B546E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[5]</w:t>
          </w:r>
          <w:r w:rsidR="00CE2F7B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3522E4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035CB" w:rsidRPr="004B54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522E4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7F28E7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3522E4" w:rsidRPr="004B546E">
        <w:rPr>
          <w:rFonts w:ascii="Times New Roman" w:hAnsi="Times New Roman" w:cs="Times New Roman"/>
          <w:sz w:val="24"/>
          <w:szCs w:val="24"/>
          <w:lang w:val="en-US"/>
        </w:rPr>
        <w:t>W7-X CIS systems</w:t>
      </w:r>
      <w:r w:rsidR="003035C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7F28E7" w:rsidRPr="004B546E">
        <w:rPr>
          <w:rFonts w:ascii="Times New Roman" w:hAnsi="Times New Roman" w:cs="Times New Roman"/>
          <w:sz w:val="24"/>
          <w:szCs w:val="24"/>
          <w:lang w:val="en-US"/>
        </w:rPr>
        <w:t>undergone upgrades to either cope with the W7-X steady state operation</w:t>
      </w:r>
      <w:r w:rsidR="00925971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8E7" w:rsidRPr="004B546E">
        <w:rPr>
          <w:rFonts w:ascii="Times New Roman" w:hAnsi="Times New Roman" w:cs="Times New Roman"/>
          <w:sz w:val="24"/>
          <w:szCs w:val="24"/>
          <w:lang w:val="en-US"/>
        </w:rPr>
        <w:t>or to deliver additional physics information</w:t>
      </w:r>
      <w:r w:rsidR="003035CB" w:rsidRPr="004B546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5971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The toroidal </w:t>
      </w:r>
      <w:r w:rsidR="00765A8B" w:rsidRPr="004B54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704CE1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2AC0" w:rsidRPr="004B546E">
        <w:rPr>
          <w:rFonts w:ascii="Times New Roman" w:hAnsi="Times New Roman" w:cs="Times New Roman"/>
          <w:sz w:val="24"/>
          <w:szCs w:val="24"/>
          <w:lang w:val="en-US"/>
        </w:rPr>
        <w:t>measuring</w:t>
      </w:r>
      <w:r w:rsidR="00704CE1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3A0" w:rsidRPr="004B546E">
        <w:rPr>
          <w:rFonts w:ascii="Times New Roman" w:hAnsi="Times New Roman" w:cs="Times New Roman"/>
          <w:sz w:val="24"/>
          <w:szCs w:val="24"/>
          <w:lang w:val="en-US"/>
        </w:rPr>
        <w:t>routinely impurity flow velocities</w:t>
      </w:r>
      <w:r w:rsidR="00230149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thanks to a well-established calibration technique</w:t>
      </w:r>
      <w:r w:rsidR="00704CE1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, now features </w:t>
      </w:r>
      <w:r w:rsidR="00E17E6A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new plasma facing components capable to withstand the 18 GJ operation foreseen for W7-X. A combination of a </w:t>
      </w:r>
      <w:proofErr w:type="gramStart"/>
      <w:r w:rsidR="00E17E6A" w:rsidRPr="004B546E">
        <w:rPr>
          <w:rFonts w:ascii="Times New Roman" w:hAnsi="Times New Roman" w:cs="Times New Roman"/>
          <w:sz w:val="24"/>
          <w:szCs w:val="24"/>
          <w:lang w:val="en-US"/>
        </w:rPr>
        <w:t>water cooled</w:t>
      </w:r>
      <w:proofErr w:type="gramEnd"/>
      <w:r w:rsidR="00E17E6A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front plate and a movable shutter with copper straps dissipate</w:t>
      </w:r>
      <w:r w:rsidR="00E260EA" w:rsidRPr="004B546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17E6A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the heat </w:t>
      </w:r>
      <w:r w:rsidR="00E260EA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loads </w:t>
      </w:r>
      <w:r w:rsidR="00E17E6A" w:rsidRPr="004B546E">
        <w:rPr>
          <w:rFonts w:ascii="Times New Roman" w:hAnsi="Times New Roman" w:cs="Times New Roman"/>
          <w:sz w:val="24"/>
          <w:szCs w:val="24"/>
          <w:lang w:val="en-US"/>
        </w:rPr>
        <w:t>expected from the plasma.</w:t>
      </w:r>
      <w:r w:rsidR="00FC128F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149" w:rsidRPr="004B546E">
        <w:rPr>
          <w:rFonts w:ascii="Times New Roman" w:hAnsi="Times New Roman" w:cs="Times New Roman"/>
          <w:sz w:val="24"/>
          <w:szCs w:val="24"/>
          <w:lang w:val="en-US"/>
        </w:rPr>
        <w:t>On the other hand, t</w:t>
      </w:r>
      <w:r w:rsidR="003143A0" w:rsidRPr="004B546E">
        <w:rPr>
          <w:rFonts w:ascii="Times New Roman" w:hAnsi="Times New Roman" w:cs="Times New Roman"/>
          <w:sz w:val="24"/>
          <w:szCs w:val="24"/>
          <w:lang w:val="en-US"/>
        </w:rPr>
        <w:t>he divertor</w:t>
      </w:r>
      <w:r w:rsidR="00E260EA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viewing</w:t>
      </w:r>
      <w:r w:rsidR="003143A0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695297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95297" w:rsidRPr="004B546E">
        <w:rPr>
          <w:rFonts w:ascii="Times New Roman" w:hAnsi="Times New Roman" w:cs="Times New Roman"/>
          <w:sz w:val="24"/>
          <w:szCs w:val="24"/>
          <w:lang w:val="en-US"/>
        </w:rPr>
        <w:t>is used</w:t>
      </w:r>
      <w:proofErr w:type="gramEnd"/>
      <w:r w:rsidR="00695297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to implement</w:t>
      </w:r>
      <w:r w:rsidR="00326CCE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at W7-X</w:t>
      </w:r>
      <w:r w:rsidR="00695297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the recently developed multi-delay </w:t>
      </w:r>
      <w:r w:rsidR="0074254D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CIS </w:t>
      </w:r>
      <w:r w:rsidR="00695297" w:rsidRPr="004B546E"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="004F60C5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2133138073"/>
          <w:citation/>
        </w:sdtPr>
        <w:sdtEndPr/>
        <w:sdtContent>
          <w:r w:rsidR="004F60C5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4F60C5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JSA21 \l 1033 </w:instrText>
          </w:r>
          <w:r w:rsidR="004F60C5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AA2B23" w:rsidRPr="004B546E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[6]</w:t>
          </w:r>
          <w:r w:rsidR="004F60C5" w:rsidRPr="004B546E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230149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C128F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in order to obtain reliable SOL ion temperature measurements </w:t>
      </w:r>
      <w:r w:rsidR="00E260EA" w:rsidRPr="004B546E">
        <w:rPr>
          <w:rFonts w:ascii="Times New Roman" w:hAnsi="Times New Roman" w:cs="Times New Roman"/>
          <w:sz w:val="24"/>
          <w:szCs w:val="24"/>
          <w:lang w:val="en-US"/>
        </w:rPr>
        <w:t>in addition to</w:t>
      </w:r>
      <w:r w:rsidR="00FC128F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the well-known velocity measurements.</w:t>
      </w:r>
      <w:r w:rsidR="00326CCE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The multi-delay technique utilizes a </w:t>
      </w:r>
      <w:proofErr w:type="spellStart"/>
      <w:r w:rsidR="00326CCE" w:rsidRPr="004B546E">
        <w:rPr>
          <w:rFonts w:ascii="Times New Roman" w:hAnsi="Times New Roman" w:cs="Times New Roman"/>
          <w:sz w:val="24"/>
          <w:szCs w:val="24"/>
          <w:lang w:val="en-US"/>
        </w:rPr>
        <w:t>micropolarized</w:t>
      </w:r>
      <w:proofErr w:type="spellEnd"/>
      <w:r w:rsidR="00326CCE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camera and multiple birefringent crystals, which </w:t>
      </w:r>
      <w:proofErr w:type="gramStart"/>
      <w:r w:rsidR="00326CCE" w:rsidRPr="004B546E">
        <w:rPr>
          <w:rFonts w:ascii="Times New Roman" w:hAnsi="Times New Roman" w:cs="Times New Roman"/>
          <w:sz w:val="24"/>
          <w:szCs w:val="24"/>
          <w:lang w:val="en-US"/>
        </w:rPr>
        <w:t>have been opt</w:t>
      </w:r>
      <w:r w:rsidR="00E260EA" w:rsidRPr="004B546E">
        <w:rPr>
          <w:rFonts w:ascii="Times New Roman" w:hAnsi="Times New Roman" w:cs="Times New Roman"/>
          <w:sz w:val="24"/>
          <w:szCs w:val="24"/>
          <w:lang w:val="en-US"/>
        </w:rPr>
        <w:t>imized</w:t>
      </w:r>
      <w:proofErr w:type="gramEnd"/>
      <w:r w:rsidR="00E260EA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to deliver information about</w:t>
      </w:r>
      <w:r w:rsidR="00326CCE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E26F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non-negligible </w:t>
      </w:r>
      <w:r w:rsidR="00326CCE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contributions of Zeeman splitting and bremsstrahlung </w:t>
      </w:r>
      <w:r w:rsidR="00E260EA" w:rsidRPr="004B54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459BC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the measured line broadening and wavelength shi</w:t>
      </w:r>
      <w:r w:rsidR="00DE26F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ft. This new CIS implementation </w:t>
      </w:r>
      <w:proofErr w:type="gramStart"/>
      <w:r w:rsidR="00DE26FB" w:rsidRPr="004B546E">
        <w:rPr>
          <w:rFonts w:ascii="Times New Roman" w:hAnsi="Times New Roman" w:cs="Times New Roman"/>
          <w:sz w:val="24"/>
          <w:szCs w:val="24"/>
          <w:lang w:val="en-US"/>
        </w:rPr>
        <w:t>is characterized</w:t>
      </w:r>
      <w:proofErr w:type="gramEnd"/>
      <w:r w:rsidR="00DE26F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with fine-tuned laser scans and is validated </w:t>
      </w:r>
      <w:r w:rsidR="00E260EA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E26FB" w:rsidRPr="004B54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74121" w:rsidRPr="004B546E">
        <w:rPr>
          <w:rFonts w:ascii="Times New Roman" w:hAnsi="Times New Roman" w:cs="Times New Roman"/>
          <w:sz w:val="24"/>
          <w:szCs w:val="24"/>
          <w:lang w:val="en-US"/>
        </w:rPr>
        <w:t>xploiting the overlap</w:t>
      </w:r>
      <w:r w:rsidR="00DE26F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of lines of sight</w:t>
      </w:r>
      <w:r w:rsidR="00674121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 with dispersive spectroscopy</w:t>
      </w:r>
      <w:r w:rsidR="00DE26FB" w:rsidRPr="004B54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46EB3" w:rsidRDefault="00646EB3" w:rsidP="00646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EB3" w:rsidRDefault="00646EB3" w:rsidP="00646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EB3" w:rsidRDefault="00646EB3" w:rsidP="00646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EB3" w:rsidRPr="00646EB3" w:rsidRDefault="00646EB3" w:rsidP="00646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de-DE"/>
        </w:rPr>
        <w:id w:val="1348683545"/>
        <w:docPartObj>
          <w:docPartGallery w:val="Bibliographies"/>
          <w:docPartUnique/>
        </w:docPartObj>
      </w:sdtPr>
      <w:sdtEndPr/>
      <w:sdtContent>
        <w:p w:rsidR="00F6202E" w:rsidRPr="004F60C5" w:rsidRDefault="00F6202E">
          <w:pPr>
            <w:pStyle w:val="Heading1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4F60C5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References</w:t>
          </w:r>
        </w:p>
        <w:sdt>
          <w:sdtPr>
            <w:rPr>
              <w:rFonts w:ascii="Times New Roman" w:hAnsi="Times New Roman" w:cs="Times New Roman"/>
              <w:sz w:val="20"/>
              <w:szCs w:val="20"/>
            </w:rPr>
            <w:id w:val="-573587230"/>
            <w:bibliography/>
          </w:sdtPr>
          <w:sdtEndPr>
            <w:rPr>
              <w:sz w:val="22"/>
              <w:szCs w:val="22"/>
            </w:rPr>
          </w:sdtEndPr>
          <w:sdtContent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09"/>
                <w:gridCol w:w="66"/>
                <w:gridCol w:w="8129"/>
              </w:tblGrid>
              <w:tr w:rsidR="00646EB3" w:rsidRPr="004B546E" w:rsidTr="00646EB3">
                <w:trPr>
                  <w:divId w:val="1972706642"/>
                  <w:tblCellSpacing w:w="15" w:type="dxa"/>
                </w:trPr>
                <w:tc>
                  <w:tcPr>
                    <w:tcW w:w="155" w:type="pct"/>
                    <w:hideMark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 xml:space="preserve">[1] </w:t>
                    </w:r>
                  </w:p>
                </w:tc>
                <w:tc>
                  <w:tcPr>
                    <w:tcW w:w="21" w:type="pct"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4753" w:type="pct"/>
                    <w:hideMark/>
                  </w:tcPr>
                  <w:p w:rsidR="00646EB3" w:rsidRPr="004F60C5" w:rsidRDefault="00646EB3" w:rsidP="00646EB3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J. Howard, </w:t>
                    </w:r>
                    <w:bookmarkStart w:id="0" w:name="_GoBack"/>
                    <w:bookmarkEnd w:id="0"/>
                    <w:r w:rsidRPr="004F60C5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0"/>
                        <w:szCs w:val="20"/>
                        <w:lang w:val="en-US"/>
                      </w:rPr>
                      <w:t xml:space="preserve">Journal of Physics B: Atomic, Molecular and Optical Physics, </w:t>
                    </w: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vol. 43, 2010. </w:t>
                    </w:r>
                  </w:p>
                </w:tc>
              </w:tr>
              <w:tr w:rsidR="00646EB3" w:rsidRPr="004B546E" w:rsidTr="00646EB3">
                <w:trPr>
                  <w:divId w:val="1972706642"/>
                  <w:tblCellSpacing w:w="15" w:type="dxa"/>
                </w:trPr>
                <w:tc>
                  <w:tcPr>
                    <w:tcW w:w="155" w:type="pct"/>
                    <w:hideMark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 xml:space="preserve">[2] </w:t>
                    </w:r>
                  </w:p>
                </w:tc>
                <w:tc>
                  <w:tcPr>
                    <w:tcW w:w="21" w:type="pct"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4753" w:type="pct"/>
                    <w:hideMark/>
                  </w:tcPr>
                  <w:p w:rsidR="00646EB3" w:rsidRPr="004F60C5" w:rsidRDefault="00646EB3" w:rsidP="00646EB3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V. Perseo et al., </w:t>
                    </w:r>
                    <w:r w:rsidRPr="004F60C5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0"/>
                        <w:szCs w:val="20"/>
                        <w:lang w:val="en-US"/>
                      </w:rPr>
                      <w:t xml:space="preserve">Review of Scientific Instruments, </w:t>
                    </w: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vol. 91, 2020. </w:t>
                    </w:r>
                  </w:p>
                </w:tc>
              </w:tr>
              <w:tr w:rsidR="00646EB3" w:rsidRPr="004B546E" w:rsidTr="00646EB3">
                <w:trPr>
                  <w:divId w:val="1972706642"/>
                  <w:tblCellSpacing w:w="15" w:type="dxa"/>
                </w:trPr>
                <w:tc>
                  <w:tcPr>
                    <w:tcW w:w="155" w:type="pct"/>
                    <w:hideMark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 xml:space="preserve">[3] </w:t>
                    </w:r>
                  </w:p>
                </w:tc>
                <w:tc>
                  <w:tcPr>
                    <w:tcW w:w="21" w:type="pct"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4753" w:type="pct"/>
                    <w:hideMark/>
                  </w:tcPr>
                  <w:p w:rsidR="00646EB3" w:rsidRPr="004F60C5" w:rsidRDefault="00646EB3" w:rsidP="00646EB3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V. Perseo et al., </w:t>
                    </w:r>
                    <w:r w:rsidRPr="004F60C5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0"/>
                        <w:szCs w:val="20"/>
                        <w:lang w:val="en-US"/>
                      </w:rPr>
                      <w:t xml:space="preserve">Nuclear Fusion, </w:t>
                    </w: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vol. 59, 2019. </w:t>
                    </w:r>
                  </w:p>
                </w:tc>
              </w:tr>
              <w:tr w:rsidR="00646EB3" w:rsidRPr="004B546E" w:rsidTr="00646EB3">
                <w:trPr>
                  <w:divId w:val="1972706642"/>
                  <w:tblCellSpacing w:w="15" w:type="dxa"/>
                </w:trPr>
                <w:tc>
                  <w:tcPr>
                    <w:tcW w:w="155" w:type="pct"/>
                    <w:hideMark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 xml:space="preserve">[4] </w:t>
                    </w:r>
                  </w:p>
                </w:tc>
                <w:tc>
                  <w:tcPr>
                    <w:tcW w:w="21" w:type="pct"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4753" w:type="pct"/>
                    <w:hideMark/>
                  </w:tcPr>
                  <w:p w:rsidR="00646EB3" w:rsidRPr="004F60C5" w:rsidRDefault="00646EB3" w:rsidP="00646EB3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>V. Perseo et al.,</w:t>
                    </w: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4F60C5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0"/>
                        <w:szCs w:val="20"/>
                        <w:lang w:val="en-US"/>
                      </w:rPr>
                      <w:t xml:space="preserve">Nuclear Fusion, </w:t>
                    </w: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vol. 61, 2021. </w:t>
                    </w:r>
                  </w:p>
                </w:tc>
              </w:tr>
              <w:tr w:rsidR="00646EB3" w:rsidRPr="004B546E" w:rsidTr="00646EB3">
                <w:trPr>
                  <w:divId w:val="1972706642"/>
                  <w:tblCellSpacing w:w="15" w:type="dxa"/>
                </w:trPr>
                <w:tc>
                  <w:tcPr>
                    <w:tcW w:w="155" w:type="pct"/>
                    <w:hideMark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 xml:space="preserve">[5] </w:t>
                    </w:r>
                  </w:p>
                </w:tc>
                <w:tc>
                  <w:tcPr>
                    <w:tcW w:w="21" w:type="pct"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4753" w:type="pct"/>
                    <w:hideMark/>
                  </w:tcPr>
                  <w:p w:rsidR="00646EB3" w:rsidRPr="004F60C5" w:rsidRDefault="00646EB3" w:rsidP="00646EB3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D.M. Kriete et al., </w:t>
                    </w:r>
                    <w:r w:rsidRPr="004F60C5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0"/>
                        <w:szCs w:val="20"/>
                        <w:lang w:val="en-US"/>
                      </w:rPr>
                      <w:t xml:space="preserve">Nuclear Fusion, </w:t>
                    </w: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vol. 63, 2023. </w:t>
                    </w:r>
                  </w:p>
                </w:tc>
              </w:tr>
              <w:tr w:rsidR="00646EB3" w:rsidRPr="004B546E" w:rsidTr="00646EB3">
                <w:trPr>
                  <w:divId w:val="1972706642"/>
                  <w:tblCellSpacing w:w="15" w:type="dxa"/>
                </w:trPr>
                <w:tc>
                  <w:tcPr>
                    <w:tcW w:w="155" w:type="pct"/>
                    <w:hideMark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</w:pP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 xml:space="preserve">[6] </w:t>
                    </w:r>
                  </w:p>
                </w:tc>
                <w:tc>
                  <w:tcPr>
                    <w:tcW w:w="21" w:type="pct"/>
                  </w:tcPr>
                  <w:p w:rsidR="00646EB3" w:rsidRPr="004F60C5" w:rsidRDefault="00646EB3" w:rsidP="004F60C5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4753" w:type="pct"/>
                    <w:hideMark/>
                  </w:tcPr>
                  <w:p w:rsidR="00646EB3" w:rsidRPr="004F60C5" w:rsidRDefault="00646EB3" w:rsidP="00646EB3">
                    <w:pPr>
                      <w:pStyle w:val="Bibliography"/>
                      <w:spacing w:after="0" w:line="240" w:lineRule="auto"/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>J.S. Allcock et al.,</w:t>
                    </w: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4F60C5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0"/>
                        <w:szCs w:val="20"/>
                        <w:lang w:val="en-US"/>
                      </w:rPr>
                      <w:t xml:space="preserve">Review of Scientific Instruments, </w:t>
                    </w:r>
                    <w:r w:rsidRPr="004F60C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en-US"/>
                      </w:rPr>
                      <w:t xml:space="preserve">vol. 92, 2021. </w:t>
                    </w:r>
                  </w:p>
                </w:tc>
              </w:tr>
            </w:tbl>
            <w:p w:rsidR="00F700D3" w:rsidRPr="00646EB3" w:rsidRDefault="000A7475" w:rsidP="00646EB3"/>
          </w:sdtContent>
        </w:sdt>
      </w:sdtContent>
    </w:sdt>
    <w:sectPr w:rsidR="00F700D3" w:rsidRPr="00646EB3" w:rsidSect="00646EB3">
      <w:pgSz w:w="11906" w:h="16838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1F"/>
    <w:rsid w:val="000A7475"/>
    <w:rsid w:val="00230149"/>
    <w:rsid w:val="00271BFA"/>
    <w:rsid w:val="002F25EA"/>
    <w:rsid w:val="003035CB"/>
    <w:rsid w:val="003143A0"/>
    <w:rsid w:val="00326CCE"/>
    <w:rsid w:val="003522E4"/>
    <w:rsid w:val="003E721F"/>
    <w:rsid w:val="004B546E"/>
    <w:rsid w:val="004F60C5"/>
    <w:rsid w:val="005A7D37"/>
    <w:rsid w:val="00646EB3"/>
    <w:rsid w:val="00674121"/>
    <w:rsid w:val="00695297"/>
    <w:rsid w:val="006A0DB6"/>
    <w:rsid w:val="00704CE1"/>
    <w:rsid w:val="0074254D"/>
    <w:rsid w:val="00765A8B"/>
    <w:rsid w:val="007F28E7"/>
    <w:rsid w:val="00887013"/>
    <w:rsid w:val="008C6D61"/>
    <w:rsid w:val="00925971"/>
    <w:rsid w:val="00AA2B23"/>
    <w:rsid w:val="00BB26F7"/>
    <w:rsid w:val="00BE6006"/>
    <w:rsid w:val="00C02C99"/>
    <w:rsid w:val="00C472DF"/>
    <w:rsid w:val="00CE2F7B"/>
    <w:rsid w:val="00DB0E97"/>
    <w:rsid w:val="00DE26FB"/>
    <w:rsid w:val="00DF0BA0"/>
    <w:rsid w:val="00E17E6A"/>
    <w:rsid w:val="00E260EA"/>
    <w:rsid w:val="00E459BC"/>
    <w:rsid w:val="00E92AC0"/>
    <w:rsid w:val="00F02331"/>
    <w:rsid w:val="00F6202E"/>
    <w:rsid w:val="00F700D3"/>
    <w:rsid w:val="00FC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C1DD"/>
  <w15:chartTrackingRefBased/>
  <w15:docId w15:val="{873C1530-4A10-4D4E-9D26-0D44A67C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0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0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F6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VPe20</b:Tag>
    <b:SourceType>JournalArticle</b:SourceType>
    <b:Guid>{A284BD3C-BF10-4DAF-801F-2AF7132F241E}</b:Guid>
    <b:Author>
      <b:Author>
        <b:Corporate>V. Perseo et al.</b:Corporate>
      </b:Author>
    </b:Author>
    <b:Title>Coherence imaging spectroscopy at Wendelstein 7-X for impurity flow measurements</b:Title>
    <b:JournalName>Review of Scientific Instruments</b:JournalName>
    <b:Year>2020</b:Year>
    <b:Volume>91</b:Volume>
    <b:RefOrder>2</b:RefOrder>
  </b:Source>
  <b:Source>
    <b:Tag>JHo10</b:Tag>
    <b:SourceType>JournalArticle</b:SourceType>
    <b:Guid>{12D771F5-41CB-43B3-8912-BCA3D6208AA6}</b:Guid>
    <b:Author>
      <b:Author>
        <b:Corporate>J. Howard</b:Corporate>
      </b:Author>
    </b:Author>
    <b:Title>Coherence imaging spectro-polarimetry for magnetic fusion diagnostics</b:Title>
    <b:JournalName>Journal of Physics B: Atomic, Molecular and Optical Physics</b:JournalName>
    <b:Year>2010</b:Year>
    <b:Volume>43</b:Volume>
    <b:RefOrder>1</b:RefOrder>
  </b:Source>
  <b:Source>
    <b:Tag>VPe19</b:Tag>
    <b:SourceType>JournalArticle</b:SourceType>
    <b:Guid>{FDB8B825-B960-4626-AC84-6685FE095E53}</b:Guid>
    <b:Author>
      <b:Author>
        <b:Corporate>V. Perseo et al.</b:Corporate>
      </b:Author>
    </b:Author>
    <b:Title>Direct measurements of counter-streaming flows in a low-shear stellarator magnetic island topology</b:Title>
    <b:JournalName>Nuclear Fusion</b:JournalName>
    <b:Year>2019</b:Year>
    <b:Volume>59</b:Volume>
    <b:RefOrder>3</b:RefOrder>
  </b:Source>
  <b:Source>
    <b:Tag>DMK23</b:Tag>
    <b:SourceType>JournalArticle</b:SourceType>
    <b:Guid>{16EB325A-7ED1-405D-AA45-A752C5AAA607}</b:Guid>
    <b:Author>
      <b:Author>
        <b:Corporate>D.M. Kriete et al.</b:Corporate>
      </b:Author>
    </b:Author>
    <b:Title>Effects of drifts on scrape-off layer transport in W7-X</b:Title>
    <b:JournalName>Nuclear Fusion</b:JournalName>
    <b:Year>2023</b:Year>
    <b:Volume>63</b:Volume>
    <b:RefOrder>5</b:RefOrder>
  </b:Source>
  <b:Source>
    <b:Tag>JSA21</b:Tag>
    <b:SourceType>JournalArticle</b:SourceType>
    <b:Guid>{7A278ABC-8E2A-411E-914F-ABB70FA4ED98}</b:Guid>
    <b:Author>
      <b:Author>
        <b:Corporate>J.S. Allcock et al.</b:Corporate>
      </b:Author>
    </b:Author>
    <b:Title>2D measurements of plasma electron density using coherence imaging with a pixelated phase mask</b:Title>
    <b:JournalName>Review of Scientific Instruments</b:JournalName>
    <b:Year>2021</b:Year>
    <b:Volume>92</b:Volume>
    <b:RefOrder>6</b:RefOrder>
  </b:Source>
  <b:Source xmlns:b="http://schemas.openxmlformats.org/officeDocument/2006/bibliography">
    <b:Tag>VPe211</b:Tag>
    <b:SourceType>JournalArticle</b:SourceType>
    <b:Guid>{A978F7B9-4E05-492B-90A8-110AD8B40087}</b:Guid>
    <b:Author>
      <b:Author>
        <b:Corporate>V. Perseo et al.</b:Corporate>
      </b:Author>
    </b:Author>
    <b:Title>2D measurements of parallel counter-streaming flows in the W7-X scrape-off layer for attached and detached plasmas</b:Title>
    <b:JournalName>Nuclear Fusion</b:JournalName>
    <b:Year>2021</b:Year>
    <b:Volume>61</b:Volume>
    <b:RefOrder>4</b:RefOrder>
  </b:Source>
</b:Sources>
</file>

<file path=customXml/itemProps1.xml><?xml version="1.0" encoding="utf-8"?>
<ds:datastoreItem xmlns:ds="http://schemas.openxmlformats.org/officeDocument/2006/customXml" ds:itemID="{DB79614C-7B4A-48B2-9892-4E8AD76F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Max-Planck-Institut f. Plasmaphysik, Greifswald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Perseo</dc:creator>
  <cp:keywords/>
  <dc:description/>
  <cp:lastModifiedBy>Valeria Perseo</cp:lastModifiedBy>
  <cp:revision>37</cp:revision>
  <cp:lastPrinted>2023-01-30T10:16:00Z</cp:lastPrinted>
  <dcterms:created xsi:type="dcterms:W3CDTF">2023-01-23T08:17:00Z</dcterms:created>
  <dcterms:modified xsi:type="dcterms:W3CDTF">2023-01-30T10:18:00Z</dcterms:modified>
</cp:coreProperties>
</file>