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E08E" w14:textId="66272621" w:rsidR="00653F51" w:rsidRPr="00653F51" w:rsidRDefault="00653F51" w:rsidP="00653F51">
      <w:pPr>
        <w:pStyle w:val="Titre1"/>
        <w:jc w:val="center"/>
        <w:rPr>
          <w:color w:val="000000"/>
          <w:sz w:val="32"/>
          <w:szCs w:val="32"/>
        </w:rPr>
      </w:pPr>
      <w:r w:rsidRPr="00653F51">
        <w:rPr>
          <w:rFonts w:eastAsia="Osaka" w:cs="Osaka"/>
          <w:color w:val="000000"/>
          <w:sz w:val="32"/>
          <w:szCs w:val="32"/>
          <w:lang w:bidi="en-US"/>
        </w:rPr>
        <w:t xml:space="preserve">Overview of ITPA </w:t>
      </w:r>
      <w:r w:rsidR="000C4849" w:rsidRPr="00653F51">
        <w:rPr>
          <w:rFonts w:eastAsia="Osaka" w:cs="Osaka"/>
          <w:color w:val="000000"/>
          <w:sz w:val="32"/>
          <w:szCs w:val="32"/>
          <w:lang w:bidi="en-US"/>
        </w:rPr>
        <w:t xml:space="preserve">Diagnostics </w:t>
      </w:r>
      <w:r w:rsidRPr="00653F51">
        <w:rPr>
          <w:rFonts w:eastAsia="Osaka" w:cs="Osaka"/>
          <w:color w:val="000000"/>
          <w:sz w:val="32"/>
          <w:szCs w:val="32"/>
          <w:lang w:bidi="en-US"/>
        </w:rPr>
        <w:t>R&amp;D</w:t>
      </w:r>
      <w:r w:rsidR="000C4849">
        <w:rPr>
          <w:rFonts w:eastAsia="Osaka" w:cs="Osaka"/>
          <w:color w:val="000000"/>
          <w:sz w:val="32"/>
          <w:szCs w:val="32"/>
          <w:lang w:bidi="en-US"/>
        </w:rPr>
        <w:t>:</w:t>
      </w:r>
      <w:r w:rsidRPr="00653F51">
        <w:rPr>
          <w:rFonts w:eastAsia="Osaka" w:cs="Osaka"/>
          <w:color w:val="000000"/>
          <w:sz w:val="32"/>
          <w:szCs w:val="32"/>
          <w:lang w:bidi="en-US"/>
        </w:rPr>
        <w:t xml:space="preserve"> recent Activities in Support of ITER </w:t>
      </w:r>
    </w:p>
    <w:p w14:paraId="3F31DF9E" w14:textId="04ADC28A" w:rsidR="00370D1C" w:rsidRPr="00653F51" w:rsidRDefault="00370D1C" w:rsidP="00370D1C">
      <w:pPr>
        <w:jc w:val="center"/>
        <w:rPr>
          <w:rFonts w:ascii="Times New Roman" w:hAnsi="Times New Roman"/>
          <w:b/>
          <w:sz w:val="28"/>
          <w:szCs w:val="28"/>
          <w:lang w:val="en-US" w:eastAsia="ja-JP"/>
        </w:rPr>
      </w:pPr>
    </w:p>
    <w:p w14:paraId="32F31E50" w14:textId="6B8F66F5" w:rsidR="00370D1C" w:rsidRPr="00653F51" w:rsidRDefault="00370D1C" w:rsidP="00653F51">
      <w:pPr>
        <w:jc w:val="center"/>
        <w:rPr>
          <w:rFonts w:ascii="Times New Roman" w:hAnsi="Times New Roman"/>
          <w:sz w:val="24"/>
          <w:szCs w:val="24"/>
        </w:rPr>
      </w:pPr>
      <w:r w:rsidRPr="00653F51">
        <w:rPr>
          <w:rFonts w:ascii="Times New Roman" w:eastAsia="Times" w:hAnsi="Times New Roman"/>
          <w:sz w:val="24"/>
          <w:szCs w:val="24"/>
        </w:rPr>
        <w:t>D. Mazon</w:t>
      </w:r>
      <w:r w:rsidRPr="00653F51">
        <w:rPr>
          <w:rFonts w:ascii="Times New Roman" w:eastAsia="Times" w:hAnsi="Times New Roman"/>
          <w:sz w:val="24"/>
          <w:szCs w:val="24"/>
          <w:vertAlign w:val="superscript"/>
        </w:rPr>
        <w:t>1</w:t>
      </w:r>
      <w:r w:rsidRPr="00653F51">
        <w:rPr>
          <w:rFonts w:ascii="Times New Roman" w:eastAsia="Times" w:hAnsi="Times New Roman"/>
          <w:sz w:val="24"/>
          <w:szCs w:val="24"/>
        </w:rPr>
        <w:t xml:space="preserve">, </w:t>
      </w:r>
      <w:r w:rsidR="00653F51" w:rsidRPr="00653F51">
        <w:rPr>
          <w:rFonts w:ascii="Times New Roman" w:hAnsi="Times New Roman"/>
          <w:bCs/>
          <w:color w:val="000000"/>
          <w:sz w:val="24"/>
          <w:szCs w:val="24"/>
        </w:rPr>
        <w:t>G. Vayakis</w:t>
      </w:r>
      <w:r w:rsidR="00653F51" w:rsidRPr="00653F51">
        <w:rPr>
          <w:rFonts w:ascii="Times New Roman" w:hAnsi="Times New Roman"/>
          <w:bCs/>
          <w:color w:val="000000"/>
          <w:sz w:val="24"/>
          <w:szCs w:val="24"/>
          <w:vertAlign w:val="superscript"/>
          <w:lang w:val="en-GB"/>
        </w:rPr>
        <w:t>2</w:t>
      </w:r>
      <w:r w:rsidR="00653F51" w:rsidRPr="00653F51">
        <w:rPr>
          <w:rFonts w:ascii="Times New Roman" w:hAnsi="Times New Roman"/>
          <w:bCs/>
          <w:color w:val="000000"/>
          <w:sz w:val="24"/>
          <w:szCs w:val="24"/>
          <w:lang w:val="en-GB"/>
        </w:rPr>
        <w:t>, G. Yun</w:t>
      </w:r>
      <w:r w:rsidR="00653F51" w:rsidRPr="00653F51">
        <w:rPr>
          <w:rFonts w:ascii="Times New Roman" w:hAnsi="Times New Roman"/>
          <w:bCs/>
          <w:color w:val="000000"/>
          <w:sz w:val="24"/>
          <w:szCs w:val="24"/>
          <w:vertAlign w:val="superscript"/>
          <w:lang w:val="en-GB"/>
        </w:rPr>
        <w:t>3</w:t>
      </w:r>
      <w:r w:rsidR="000256D6">
        <w:rPr>
          <w:rFonts w:ascii="Times New Roman" w:hAnsi="Times New Roman"/>
          <w:bCs/>
          <w:color w:val="000000"/>
          <w:sz w:val="24"/>
          <w:szCs w:val="24"/>
          <w:lang w:val="en-GB"/>
        </w:rPr>
        <w:t>, M. Walsh,</w:t>
      </w:r>
      <w:r w:rsidR="00653F51" w:rsidRPr="00653F51">
        <w:rPr>
          <w:rFonts w:ascii="Times New Roman" w:hAnsi="Times New Roman"/>
          <w:bCs/>
          <w:color w:val="000000"/>
          <w:sz w:val="24"/>
          <w:szCs w:val="24"/>
        </w:rPr>
        <w:t xml:space="preserve"> for the ITPA Topical Group on Diagnostics</w:t>
      </w:r>
    </w:p>
    <w:p w14:paraId="0AFD960F" w14:textId="57A8260B" w:rsidR="00370D1C" w:rsidRPr="00653F51" w:rsidRDefault="00370D1C" w:rsidP="00370D1C">
      <w:pPr>
        <w:jc w:val="center"/>
        <w:rPr>
          <w:rFonts w:ascii="Times New Roman" w:hAnsi="Times New Roman"/>
          <w:i/>
        </w:rPr>
      </w:pPr>
      <w:r w:rsidRPr="00653F51">
        <w:rPr>
          <w:rFonts w:ascii="Times New Roman" w:hAnsi="Times New Roman"/>
          <w:i/>
          <w:vertAlign w:val="superscript"/>
        </w:rPr>
        <w:t>1</w:t>
      </w:r>
      <w:r w:rsidRPr="00653F51">
        <w:rPr>
          <w:rFonts w:ascii="Times New Roman" w:hAnsi="Times New Roman"/>
          <w:i/>
        </w:rPr>
        <w:t>CEA, IRFM, F-13108 Saint-Paul-lez-Durance, France</w:t>
      </w:r>
    </w:p>
    <w:p w14:paraId="61FC35AA" w14:textId="26B22D0B" w:rsidR="00653F51" w:rsidRPr="00653F51" w:rsidRDefault="00653F51" w:rsidP="00653F51">
      <w:pPr>
        <w:jc w:val="center"/>
        <w:rPr>
          <w:rFonts w:ascii="Times New Roman" w:hAnsi="Times New Roman"/>
          <w:i/>
        </w:rPr>
      </w:pPr>
      <w:r w:rsidRPr="00653F51">
        <w:rPr>
          <w:rFonts w:ascii="Times New Roman" w:hAnsi="Times New Roman"/>
          <w:i/>
          <w:vertAlign w:val="superscript"/>
          <w:lang w:val="fr-FR"/>
        </w:rPr>
        <w:t>2</w:t>
      </w:r>
      <w:r w:rsidRPr="00653F51">
        <w:rPr>
          <w:rFonts w:ascii="Times New Roman" w:hAnsi="Times New Roman"/>
          <w:i/>
        </w:rPr>
        <w:t>ITER Organization, Route de Vinon sur Verdon, CS 90 046 - 13067 Saint Paul Lez Durance</w:t>
      </w:r>
      <w:r w:rsidRPr="00653F51">
        <w:rPr>
          <w:rFonts w:ascii="Times New Roman" w:hAnsi="Times New Roman" w:hint="eastAsia"/>
          <w:i/>
        </w:rPr>
        <w:t xml:space="preserve"> </w:t>
      </w:r>
      <w:r w:rsidRPr="00653F51">
        <w:rPr>
          <w:rFonts w:ascii="Times New Roman" w:hAnsi="Times New Roman"/>
          <w:i/>
        </w:rPr>
        <w:t>Cedex, France</w:t>
      </w:r>
    </w:p>
    <w:p w14:paraId="1C76BD30" w14:textId="5DD10F5A" w:rsidR="00653F51" w:rsidRPr="00653F51" w:rsidRDefault="00653F51" w:rsidP="00653F51">
      <w:pPr>
        <w:jc w:val="center"/>
        <w:rPr>
          <w:rFonts w:ascii="Times New Roman" w:hAnsi="Times New Roman"/>
          <w:i/>
          <w:lang w:val="en-GB"/>
        </w:rPr>
      </w:pPr>
      <w:r w:rsidRPr="00320B86">
        <w:rPr>
          <w:rFonts w:ascii="Times New Roman" w:hAnsi="Times New Roman"/>
          <w:i/>
          <w:vertAlign w:val="superscript"/>
          <w:lang w:val="en-GB"/>
        </w:rPr>
        <w:t>3</w:t>
      </w:r>
      <w:r w:rsidRPr="00653F51">
        <w:rPr>
          <w:rFonts w:ascii="Times New Roman" w:hAnsi="Times New Roman"/>
          <w:i/>
          <w:lang w:val="en-GB"/>
        </w:rPr>
        <w:t> </w:t>
      </w:r>
      <w:r w:rsidR="00847523">
        <w:rPr>
          <w:rFonts w:ascii="Times New Roman" w:hAnsi="Times New Roman"/>
          <w:i/>
          <w:lang w:val="en-GB"/>
        </w:rPr>
        <w:t>Pohang University of Science and Technology, Pohang, Republic of Korea</w:t>
      </w:r>
      <w:r w:rsidRPr="00653F51">
        <w:rPr>
          <w:rFonts w:ascii="Times New Roman" w:hAnsi="Times New Roman"/>
          <w:i/>
          <w:lang w:val="en-GB"/>
        </w:rPr>
        <w:t xml:space="preserve"> </w:t>
      </w:r>
    </w:p>
    <w:p w14:paraId="3C299BA5" w14:textId="77777777" w:rsidR="00172F51" w:rsidRPr="00653F51" w:rsidRDefault="00172F51" w:rsidP="00172F51">
      <w:pPr>
        <w:pStyle w:val="Default"/>
        <w:jc w:val="center"/>
      </w:pPr>
    </w:p>
    <w:p w14:paraId="626CCAA6" w14:textId="20ABCD92" w:rsidR="00B24F1C" w:rsidRDefault="0060335A" w:rsidP="0060335A">
      <w:pPr>
        <w:autoSpaceDE w:val="0"/>
        <w:autoSpaceDN w:val="0"/>
        <w:adjustRightInd w:val="0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0335A"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="00B24F1C" w:rsidRPr="00653F51">
        <w:rPr>
          <w:rFonts w:ascii="Times New Roman" w:hAnsi="Times New Roman"/>
          <w:color w:val="000000"/>
          <w:sz w:val="24"/>
          <w:szCs w:val="24"/>
        </w:rPr>
        <w:t>iagnostic system</w:t>
      </w:r>
      <w:r w:rsidRPr="0060335A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="00B24F1C" w:rsidRPr="00653F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35A">
        <w:rPr>
          <w:rFonts w:ascii="Times New Roman" w:hAnsi="Times New Roman"/>
          <w:color w:val="000000"/>
          <w:sz w:val="24"/>
          <w:szCs w:val="24"/>
          <w:lang w:val="en-GB"/>
        </w:rPr>
        <w:t>are</w:t>
      </w:r>
      <w:r w:rsidR="00B24F1C" w:rsidRPr="00653F51">
        <w:rPr>
          <w:rFonts w:ascii="Times New Roman" w:hAnsi="Times New Roman"/>
          <w:color w:val="000000"/>
          <w:sz w:val="24"/>
          <w:szCs w:val="24"/>
        </w:rPr>
        <w:t xml:space="preserve"> essential for safe machine protection, reliable machine operation and comprehensive understanding of burning plasma behavior in ITER [1]. In order to achieve the above aims, more than fifty sub-systems will be developed for measurement of plasma and plasma facing components in the harsh ITER environment, e.g. higher neutron/</w:t>
      </w:r>
      <w:r w:rsidR="00B24F1C" w:rsidRPr="00B24F1C">
        <w:rPr>
          <w:rFonts w:ascii="Symbol" w:hAnsi="Symbol"/>
          <w:color w:val="000000"/>
          <w:sz w:val="24"/>
          <w:szCs w:val="24"/>
        </w:rPr>
        <w:t></w:t>
      </w:r>
      <w:r w:rsidR="00B24F1C" w:rsidRPr="00653F51">
        <w:rPr>
          <w:rFonts w:ascii="Times New Roman" w:hAnsi="Times New Roman"/>
          <w:color w:val="000000"/>
          <w:sz w:val="24"/>
          <w:szCs w:val="24"/>
        </w:rPr>
        <w:t>-ray irradiation and lower accessibility/maintainability compared to that of existing fusion devices.</w:t>
      </w:r>
    </w:p>
    <w:p w14:paraId="761DE7A3" w14:textId="6206C7D6" w:rsidR="00B13DBB" w:rsidRDefault="00653F51" w:rsidP="00B13DBB">
      <w:pPr>
        <w:autoSpaceDE w:val="0"/>
        <w:autoSpaceDN w:val="0"/>
        <w:adjustRightInd w:val="0"/>
        <w:ind w:firstLine="1"/>
        <w:jc w:val="both"/>
        <w:rPr>
          <w:rFonts w:ascii="Times New Roman" w:hAnsi="Times New Roman"/>
          <w:bCs/>
          <w:iCs/>
          <w:snapToGrid w:val="0"/>
          <w:sz w:val="24"/>
          <w:lang w:val="en-GB"/>
        </w:rPr>
      </w:pPr>
      <w:r w:rsidRPr="00653F51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Pr="00653F51">
        <w:rPr>
          <w:rFonts w:ascii="Times New Roman" w:hAnsi="Times New Roman"/>
          <w:color w:val="000000"/>
          <w:sz w:val="24"/>
          <w:szCs w:val="24"/>
        </w:rPr>
        <w:t xml:space="preserve">International Tokamak Physics Activity (ITPA) Topical Group (TG) on Diagnostics has been conducting </w:t>
      </w:r>
      <w:r w:rsidR="00020704" w:rsidRPr="00020704">
        <w:rPr>
          <w:rFonts w:ascii="Times New Roman" w:hAnsi="Times New Roman"/>
          <w:color w:val="000000"/>
          <w:sz w:val="24"/>
          <w:szCs w:val="24"/>
          <w:lang w:val="en-GB"/>
        </w:rPr>
        <w:t xml:space="preserve">continuous </w:t>
      </w:r>
      <w:r w:rsidRPr="00653F51">
        <w:rPr>
          <w:rFonts w:ascii="Times New Roman" w:hAnsi="Times New Roman"/>
          <w:color w:val="000000"/>
          <w:sz w:val="24"/>
          <w:szCs w:val="24"/>
        </w:rPr>
        <w:t xml:space="preserve">R&amp;D activities to support improved ITER diagnostic performance. In this paper, highlights of </w:t>
      </w:r>
      <w:r w:rsidR="0060335A" w:rsidRPr="0060335A">
        <w:rPr>
          <w:rFonts w:ascii="Times New Roman" w:hAnsi="Times New Roman"/>
          <w:color w:val="000000"/>
          <w:sz w:val="24"/>
          <w:szCs w:val="24"/>
          <w:lang w:val="en-GB"/>
        </w:rPr>
        <w:t xml:space="preserve">some of </w:t>
      </w:r>
      <w:r w:rsidRPr="00653F51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60335A" w:rsidRPr="0060335A">
        <w:rPr>
          <w:rFonts w:ascii="Times New Roman" w:hAnsi="Times New Roman"/>
          <w:color w:val="000000"/>
          <w:sz w:val="24"/>
          <w:szCs w:val="24"/>
          <w:lang w:val="en-GB"/>
        </w:rPr>
        <w:t xml:space="preserve">recent </w:t>
      </w:r>
      <w:r w:rsidR="00847523">
        <w:rPr>
          <w:rFonts w:ascii="Times New Roman" w:hAnsi="Times New Roman"/>
          <w:color w:val="000000"/>
          <w:sz w:val="24"/>
          <w:szCs w:val="24"/>
          <w:lang w:val="en-US"/>
        </w:rPr>
        <w:t>TG</w:t>
      </w:r>
      <w:r w:rsidR="00603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523">
        <w:rPr>
          <w:rFonts w:ascii="Times New Roman" w:hAnsi="Times New Roman"/>
          <w:color w:val="000000"/>
          <w:sz w:val="24"/>
          <w:szCs w:val="24"/>
        </w:rPr>
        <w:t>activit</w:t>
      </w:r>
      <w:proofErr w:type="spellStart"/>
      <w:r w:rsidR="00847523">
        <w:rPr>
          <w:rFonts w:ascii="Times New Roman" w:hAnsi="Times New Roman"/>
          <w:color w:val="000000"/>
          <w:sz w:val="24"/>
          <w:szCs w:val="24"/>
          <w:lang w:val="en-US"/>
        </w:rPr>
        <w:t>ies</w:t>
      </w:r>
      <w:proofErr w:type="spellEnd"/>
      <w:r w:rsidR="00847523" w:rsidRPr="00653F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335A">
        <w:rPr>
          <w:rFonts w:ascii="Times New Roman" w:hAnsi="Times New Roman"/>
          <w:color w:val="000000"/>
          <w:sz w:val="24"/>
          <w:szCs w:val="24"/>
        </w:rPr>
        <w:t>are overviewed </w:t>
      </w:r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like </w:t>
      </w:r>
      <w:r w:rsidRPr="00653F51">
        <w:rPr>
          <w:rFonts w:ascii="Times New Roman" w:hAnsi="Times New Roman"/>
          <w:color w:val="000000"/>
          <w:sz w:val="24"/>
          <w:szCs w:val="24"/>
        </w:rPr>
        <w:t>mitigat</w:t>
      </w:r>
      <w:r w:rsidR="00847523">
        <w:rPr>
          <w:rFonts w:ascii="Times New Roman" w:hAnsi="Times New Roman"/>
          <w:color w:val="000000"/>
          <w:sz w:val="24"/>
          <w:szCs w:val="24"/>
          <w:lang w:val="en-US"/>
        </w:rPr>
        <w:t xml:space="preserve">ion of </w:t>
      </w:r>
      <w:r w:rsidRPr="00653F51">
        <w:rPr>
          <w:rFonts w:ascii="Times New Roman" w:hAnsi="Times New Roman"/>
          <w:color w:val="000000"/>
          <w:sz w:val="24"/>
          <w:szCs w:val="24"/>
        </w:rPr>
        <w:t xml:space="preserve"> degradation of first mirrors in optical systems, cleaning techniques for impurity deposition on mirrors; </w:t>
      </w:r>
      <w:r w:rsidR="00847523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="00847523" w:rsidRPr="00020704">
        <w:rPr>
          <w:rFonts w:ascii="Times New Roman" w:hAnsi="Times New Roman"/>
          <w:color w:val="000000"/>
          <w:sz w:val="24"/>
          <w:szCs w:val="24"/>
          <w:lang w:val="en-GB"/>
        </w:rPr>
        <w:t xml:space="preserve">nvestigation </w:t>
      </w:r>
      <w:r w:rsidR="00020704" w:rsidRPr="00020704">
        <w:rPr>
          <w:rFonts w:ascii="Times New Roman" w:hAnsi="Times New Roman"/>
          <w:color w:val="000000"/>
          <w:sz w:val="24"/>
          <w:szCs w:val="24"/>
          <w:lang w:val="en-GB"/>
        </w:rPr>
        <w:t xml:space="preserve">and modelling </w:t>
      </w:r>
      <w:r w:rsidR="00020704" w:rsidRPr="00653F51">
        <w:rPr>
          <w:rFonts w:ascii="Times New Roman" w:hAnsi="Times New Roman"/>
          <w:color w:val="000000"/>
          <w:sz w:val="24"/>
          <w:szCs w:val="24"/>
        </w:rPr>
        <w:t>of in-vessel stray-light to reduce its impact on diagnostics</w:t>
      </w:r>
      <w:r w:rsidR="00847523">
        <w:rPr>
          <w:rFonts w:ascii="Times New Roman" w:hAnsi="Times New Roman"/>
          <w:color w:val="000000"/>
          <w:sz w:val="24"/>
          <w:szCs w:val="24"/>
          <w:lang w:val="en-GB"/>
        </w:rPr>
        <w:t>;</w:t>
      </w:r>
      <w:r w:rsidR="00847523" w:rsidRPr="00020704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 </w:t>
      </w:r>
      <w:r w:rsidR="00A1727C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evaluation of </w:t>
      </w:r>
      <w:r w:rsidR="00847523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radiation effects on </w:t>
      </w:r>
      <w:r w:rsidR="00A1727C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various </w:t>
      </w:r>
      <w:r w:rsidR="00847523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diagnostic components; </w:t>
      </w:r>
      <w:r w:rsidR="00A1727C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development of neutron flux diagnostics for fusion power measurement, </w:t>
      </w:r>
      <w:r w:rsidR="00020704" w:rsidRPr="00F7588F">
        <w:rPr>
          <w:rFonts w:ascii="Times New Roman" w:hAnsi="Times New Roman"/>
          <w:bCs/>
          <w:iCs/>
          <w:snapToGrid w:val="0"/>
          <w:sz w:val="24"/>
          <w:lang w:val="en-GB"/>
        </w:rPr>
        <w:t>Laser-Induced Breakdown Spectroscopy (LIBS)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>, which is</w:t>
      </w:r>
      <w:r w:rsidR="00020704" w:rsidRPr="00F7588F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 to measure D/T concentration in the ITER first wall and to constraint H trapping modelling codes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 including comparative study between p</w:t>
      </w:r>
      <w:r w:rsidR="0039395F">
        <w:rPr>
          <w:rFonts w:ascii="Times New Roman" w:hAnsi="Times New Roman"/>
          <w:bCs/>
          <w:iCs/>
          <w:snapToGrid w:val="0"/>
          <w:sz w:val="24"/>
          <w:lang w:val="en-GB"/>
        </w:rPr>
        <w:t>icoseconds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 ve</w:t>
      </w:r>
      <w:r w:rsidR="00A45013">
        <w:rPr>
          <w:rFonts w:ascii="Times New Roman" w:hAnsi="Times New Roman"/>
          <w:bCs/>
          <w:iCs/>
          <w:snapToGrid w:val="0"/>
          <w:sz w:val="24"/>
          <w:lang w:val="en-GB"/>
        </w:rPr>
        <w:t>r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>sus n</w:t>
      </w:r>
      <w:r w:rsidR="0039395F">
        <w:rPr>
          <w:rFonts w:ascii="Times New Roman" w:hAnsi="Times New Roman"/>
          <w:bCs/>
          <w:iCs/>
          <w:snapToGrid w:val="0"/>
          <w:sz w:val="24"/>
          <w:lang w:val="en-GB"/>
        </w:rPr>
        <w:t>an</w:t>
      </w:r>
      <w:bookmarkStart w:id="0" w:name="_GoBack"/>
      <w:bookmarkEnd w:id="0"/>
      <w:r w:rsidR="0039395F">
        <w:rPr>
          <w:rFonts w:ascii="Times New Roman" w:hAnsi="Times New Roman"/>
          <w:bCs/>
          <w:iCs/>
          <w:snapToGrid w:val="0"/>
          <w:sz w:val="24"/>
          <w:lang w:val="en-GB"/>
        </w:rPr>
        <w:t>osecond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>s LIBS</w:t>
      </w:r>
      <w:r w:rsidR="00847523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; 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integrated data analyses to provide </w:t>
      </w:r>
      <w:r w:rsidR="00B13DBB">
        <w:rPr>
          <w:rFonts w:ascii="Times New Roman" w:hAnsi="Times New Roman"/>
          <w:bCs/>
          <w:iCs/>
          <w:snapToGrid w:val="0"/>
          <w:sz w:val="24"/>
          <w:lang w:val="en-GB"/>
        </w:rPr>
        <w:t>useful</w:t>
      </w:r>
      <w:r w:rsidR="00020704">
        <w:rPr>
          <w:rFonts w:ascii="Times New Roman" w:hAnsi="Times New Roman"/>
          <w:bCs/>
          <w:iCs/>
          <w:snapToGrid w:val="0"/>
          <w:sz w:val="24"/>
          <w:lang w:val="en-GB"/>
        </w:rPr>
        <w:t xml:space="preserve"> data for real-time control, </w:t>
      </w:r>
      <w:r w:rsidR="00B13DBB">
        <w:rPr>
          <w:rFonts w:ascii="Times New Roman" w:hAnsi="Times New Roman"/>
          <w:bCs/>
          <w:iCs/>
          <w:snapToGrid w:val="0"/>
          <w:sz w:val="24"/>
          <w:lang w:val="en-GB"/>
        </w:rPr>
        <w:t>synthetic diagnostics</w:t>
      </w:r>
      <w:r w:rsidR="00B13DBB" w:rsidRPr="00B13DBB">
        <w:rPr>
          <w:rFonts w:ascii="Times New Roman" w:hAnsi="Times New Roman"/>
          <w:bCs/>
          <w:color w:val="000000"/>
          <w:sz w:val="24"/>
          <w:lang w:val="en-GB"/>
        </w:rPr>
        <w:t xml:space="preserve"> </w:t>
      </w:r>
      <w:r w:rsidR="00B13DBB" w:rsidRPr="003F3078">
        <w:rPr>
          <w:rFonts w:ascii="Times New Roman" w:hAnsi="Times New Roman"/>
          <w:bCs/>
          <w:color w:val="000000"/>
          <w:sz w:val="24"/>
          <w:lang w:val="en-GB"/>
        </w:rPr>
        <w:t xml:space="preserve">development </w:t>
      </w:r>
      <w:r w:rsidR="00B13DBB">
        <w:rPr>
          <w:rFonts w:ascii="Times New Roman" w:hAnsi="Times New Roman"/>
          <w:bCs/>
          <w:color w:val="000000"/>
          <w:sz w:val="24"/>
          <w:lang w:val="en-GB"/>
        </w:rPr>
        <w:t xml:space="preserve">in </w:t>
      </w:r>
      <w:r w:rsidR="00B13DBB" w:rsidRPr="003F3078">
        <w:rPr>
          <w:rFonts w:ascii="Times New Roman" w:hAnsi="Times New Roman"/>
          <w:bCs/>
          <w:color w:val="000000"/>
          <w:sz w:val="24"/>
          <w:lang w:val="en-GB"/>
        </w:rPr>
        <w:t>the</w:t>
      </w:r>
      <w:r w:rsidR="00B13DBB" w:rsidRPr="003F3078">
        <w:rPr>
          <w:rFonts w:ascii="Times New Roman" w:hAnsi="Times New Roman"/>
          <w:sz w:val="24"/>
        </w:rPr>
        <w:t xml:space="preserve"> framework of </w:t>
      </w:r>
      <w:r w:rsidR="00B13DBB" w:rsidRPr="003F3078">
        <w:rPr>
          <w:rFonts w:ascii="Times New Roman" w:hAnsi="Times New Roman"/>
          <w:bCs/>
          <w:color w:val="000000"/>
          <w:sz w:val="24"/>
          <w:lang w:val="en-GB"/>
        </w:rPr>
        <w:t>ITER Integrated Modelling &amp; Analysis Suite (IMAS)</w:t>
      </w:r>
      <w:r w:rsidR="00B13DBB">
        <w:rPr>
          <w:rFonts w:ascii="Times New Roman" w:hAnsi="Times New Roman"/>
          <w:bCs/>
          <w:color w:val="000000"/>
          <w:sz w:val="24"/>
          <w:lang w:val="en-GB"/>
        </w:rPr>
        <w:t xml:space="preserve"> etc…</w:t>
      </w:r>
    </w:p>
    <w:p w14:paraId="071192A7" w14:textId="5238B484" w:rsidR="00653F51" w:rsidRPr="00B13DBB" w:rsidRDefault="00653F51" w:rsidP="00B13DBB">
      <w:pPr>
        <w:autoSpaceDE w:val="0"/>
        <w:autoSpaceDN w:val="0"/>
        <w:adjustRightInd w:val="0"/>
        <w:ind w:firstLine="1"/>
        <w:jc w:val="both"/>
        <w:rPr>
          <w:rFonts w:ascii="Times New Roman" w:hAnsi="Times New Roman"/>
          <w:sz w:val="24"/>
          <w:szCs w:val="24"/>
          <w:lang w:val="en-GB"/>
        </w:rPr>
      </w:pPr>
      <w:r w:rsidRPr="00653F51">
        <w:rPr>
          <w:rFonts w:ascii="Times New Roman" w:hAnsi="Times New Roman"/>
          <w:sz w:val="24"/>
          <w:szCs w:val="24"/>
        </w:rPr>
        <w:t>The TG activity is mainly directed to Hi</w:t>
      </w:r>
      <w:r w:rsidR="00B13DBB">
        <w:rPr>
          <w:rFonts w:ascii="Times New Roman" w:hAnsi="Times New Roman"/>
          <w:sz w:val="24"/>
          <w:szCs w:val="24"/>
        </w:rPr>
        <w:t xml:space="preserve">gh Priority research areas (HP) </w:t>
      </w:r>
      <w:r w:rsidRPr="00653F51">
        <w:rPr>
          <w:rFonts w:ascii="Times New Roman" w:hAnsi="Times New Roman"/>
          <w:color w:val="000000"/>
          <w:sz w:val="24"/>
          <w:szCs w:val="24"/>
        </w:rPr>
        <w:t>and Joint Experiments for Diagnostics (JEX-DIAG) under a framework between ITPA and the Implementing Agreement on Co-Operation of Tokamak Programs of the In</w:t>
      </w:r>
      <w:r w:rsidR="00B13DBB">
        <w:rPr>
          <w:rFonts w:ascii="Times New Roman" w:hAnsi="Times New Roman"/>
          <w:color w:val="000000"/>
          <w:sz w:val="24"/>
          <w:szCs w:val="24"/>
        </w:rPr>
        <w:t>ternational Energy Agency (IEA)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etailed description of the </w:t>
      </w:r>
      <w:proofErr w:type="spellStart"/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>on going</w:t>
      </w:r>
      <w:proofErr w:type="spellEnd"/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 work </w:t>
      </w:r>
      <w:proofErr w:type="gramStart"/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>will be given</w:t>
      </w:r>
      <w:proofErr w:type="gramEnd"/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559C25AC" w14:textId="77777777" w:rsidR="00653F51" w:rsidRPr="00653F51" w:rsidRDefault="00653F51" w:rsidP="0060335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3F51">
        <w:rPr>
          <w:rFonts w:ascii="Times New Roman" w:hAnsi="Times New Roman"/>
          <w:b/>
          <w:color w:val="000000"/>
          <w:sz w:val="24"/>
          <w:szCs w:val="24"/>
        </w:rPr>
        <w:t>References</w:t>
      </w:r>
    </w:p>
    <w:p w14:paraId="625E1F09" w14:textId="64ABCF26" w:rsidR="00653F51" w:rsidRPr="00653F51" w:rsidRDefault="00653F51" w:rsidP="0060335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F51">
        <w:rPr>
          <w:rFonts w:ascii="Times New Roman" w:hAnsi="Times New Roman"/>
          <w:color w:val="000000"/>
          <w:sz w:val="24"/>
          <w:szCs w:val="24"/>
        </w:rPr>
        <w:t xml:space="preserve">[1] 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>D.</w:t>
      </w:r>
      <w:r w:rsid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 Brower</w:t>
      </w:r>
      <w:r w:rsidR="00E07E6C">
        <w:rPr>
          <w:rFonts w:ascii="Times New Roman" w:hAnsi="Times New Roman"/>
          <w:color w:val="000000"/>
          <w:sz w:val="24"/>
          <w:szCs w:val="24"/>
          <w:lang w:val="en-GB"/>
        </w:rPr>
        <w:t xml:space="preserve"> et al.,</w:t>
      </w:r>
      <w:r w:rsidRPr="00653F51">
        <w:rPr>
          <w:rFonts w:ascii="Times New Roman" w:hAnsi="Times New Roman"/>
          <w:color w:val="000000"/>
          <w:sz w:val="24"/>
          <w:szCs w:val="24"/>
        </w:rPr>
        <w:t>, Proc. 2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>7</w:t>
      </w:r>
      <w:r w:rsidRPr="00653F51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653F51">
        <w:rPr>
          <w:rFonts w:ascii="Times New Roman" w:hAnsi="Times New Roman"/>
          <w:color w:val="000000"/>
          <w:sz w:val="24"/>
          <w:szCs w:val="24"/>
        </w:rPr>
        <w:t xml:space="preserve"> IAEA Fusion Energy </w:t>
      </w:r>
      <w:r w:rsidRPr="00653F51">
        <w:rPr>
          <w:rFonts w:ascii="Times New Roman" w:hAnsi="Times New Roman"/>
          <w:sz w:val="24"/>
          <w:szCs w:val="24"/>
        </w:rPr>
        <w:t>Conference</w:t>
      </w:r>
      <w:r w:rsidR="00B13DB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 xml:space="preserve">India </w:t>
      </w:r>
      <w:r w:rsidRPr="00653F51">
        <w:rPr>
          <w:rFonts w:ascii="Times New Roman" w:hAnsi="Times New Roman"/>
          <w:color w:val="000000"/>
          <w:sz w:val="24"/>
          <w:szCs w:val="24"/>
        </w:rPr>
        <w:t>(201</w:t>
      </w:r>
      <w:r w:rsidR="00B13DBB" w:rsidRPr="00B13DBB">
        <w:rPr>
          <w:rFonts w:ascii="Times New Roman" w:hAnsi="Times New Roman"/>
          <w:color w:val="000000"/>
          <w:sz w:val="24"/>
          <w:szCs w:val="24"/>
          <w:lang w:val="en-GB"/>
        </w:rPr>
        <w:t>8</w:t>
      </w:r>
      <w:r w:rsidRPr="00653F51">
        <w:rPr>
          <w:rFonts w:ascii="Times New Roman" w:hAnsi="Times New Roman"/>
          <w:color w:val="000000"/>
          <w:sz w:val="24"/>
          <w:szCs w:val="24"/>
        </w:rPr>
        <w:t>)</w:t>
      </w:r>
    </w:p>
    <w:p w14:paraId="521EF359" w14:textId="77777777" w:rsidR="00172F51" w:rsidRPr="00B13DBB" w:rsidRDefault="00172F51" w:rsidP="0060335A">
      <w:pPr>
        <w:pStyle w:val="Default"/>
        <w:jc w:val="both"/>
      </w:pPr>
    </w:p>
    <w:sectPr w:rsidR="00172F51" w:rsidRPr="00B13DBB" w:rsidSect="00C67C5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Gothic"/>
    <w:charset w:val="80"/>
    <w:family w:val="auto"/>
    <w:pitch w:val="variable"/>
    <w:sig w:usb0="00000001" w:usb1="08070000" w:usb2="01000417" w:usb3="00000000" w:csb0="0002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20704"/>
    <w:rsid w:val="00023FCD"/>
    <w:rsid w:val="000256D6"/>
    <w:rsid w:val="0007701F"/>
    <w:rsid w:val="000C4849"/>
    <w:rsid w:val="00172F51"/>
    <w:rsid w:val="001853DD"/>
    <w:rsid w:val="002613C6"/>
    <w:rsid w:val="002A0132"/>
    <w:rsid w:val="002B1B1E"/>
    <w:rsid w:val="00320B86"/>
    <w:rsid w:val="00370D1C"/>
    <w:rsid w:val="0039395F"/>
    <w:rsid w:val="0047107B"/>
    <w:rsid w:val="004B6517"/>
    <w:rsid w:val="004E0655"/>
    <w:rsid w:val="00574ABC"/>
    <w:rsid w:val="0060335A"/>
    <w:rsid w:val="00653F51"/>
    <w:rsid w:val="00847523"/>
    <w:rsid w:val="008E26FD"/>
    <w:rsid w:val="00910550"/>
    <w:rsid w:val="009A3324"/>
    <w:rsid w:val="00A1727C"/>
    <w:rsid w:val="00A45013"/>
    <w:rsid w:val="00B13DBB"/>
    <w:rsid w:val="00B14154"/>
    <w:rsid w:val="00B24F1C"/>
    <w:rsid w:val="00C67C56"/>
    <w:rsid w:val="00DC42A2"/>
    <w:rsid w:val="00E07E6C"/>
    <w:rsid w:val="00E16B73"/>
    <w:rsid w:val="00E412FD"/>
    <w:rsid w:val="00E50186"/>
    <w:rsid w:val="00F724D4"/>
    <w:rsid w:val="00FC07BF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92869FCA-53ED-4314-A921-7CB4E0A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paragraph" w:styleId="Titre1">
    <w:name w:val="heading 1"/>
    <w:basedOn w:val="Normal"/>
    <w:next w:val="Normal"/>
    <w:link w:val="Titre1Car"/>
    <w:qFormat/>
    <w:rsid w:val="00653F51"/>
    <w:pPr>
      <w:keepNext/>
      <w:widowControl w:val="0"/>
      <w:spacing w:after="0" w:line="240" w:lineRule="auto"/>
      <w:jc w:val="both"/>
      <w:outlineLvl w:val="0"/>
    </w:pPr>
    <w:rPr>
      <w:rFonts w:ascii="Times New Roman" w:eastAsia="MS Mincho" w:hAnsi="Times New Roman"/>
      <w:b/>
      <w:bCs/>
      <w:kern w:val="2"/>
      <w:sz w:val="28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edebulles">
    <w:name w:val="Balloon Text"/>
    <w:basedOn w:val="Normal"/>
    <w:link w:val="Textedebulles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0132"/>
    <w:rPr>
      <w:rFonts w:ascii="Tahoma" w:hAnsi="Tahoma" w:cs="Tahoma"/>
      <w:sz w:val="16"/>
      <w:szCs w:val="16"/>
      <w:lang w:val="el-GR" w:eastAsia="el-GR"/>
    </w:rPr>
  </w:style>
  <w:style w:type="character" w:customStyle="1" w:styleId="Titre1Car">
    <w:name w:val="Titre 1 Car"/>
    <w:basedOn w:val="Policepardfaut"/>
    <w:link w:val="Titre1"/>
    <w:rsid w:val="00653F51"/>
    <w:rPr>
      <w:rFonts w:eastAsia="MS Mincho"/>
      <w:b/>
      <w:bCs/>
      <w:kern w:val="2"/>
      <w:sz w:val="28"/>
      <w:szCs w:val="24"/>
      <w:lang w:eastAsia="ja-JP"/>
    </w:rPr>
  </w:style>
  <w:style w:type="paragraph" w:styleId="Rvision">
    <w:name w:val="Revision"/>
    <w:hidden/>
    <w:uiPriority w:val="99"/>
    <w:semiHidden/>
    <w:rsid w:val="00847523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F366-EE0D-433B-B599-7709F2AD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Title of talk or poster (two lines maximum)</vt:lpstr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MAZON Didier 165560</cp:lastModifiedBy>
  <cp:revision>13</cp:revision>
  <dcterms:created xsi:type="dcterms:W3CDTF">2022-12-15T10:53:00Z</dcterms:created>
  <dcterms:modified xsi:type="dcterms:W3CDTF">2023-01-27T09:49:00Z</dcterms:modified>
</cp:coreProperties>
</file>